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ascii="仿宋" w:hAnsi="仿宋" w:eastAsia="仿宋"/>
          <w:sz w:val="44"/>
          <w:szCs w:val="44"/>
        </w:rPr>
        <w:sectPr>
          <w:pgSz w:w="11906" w:h="16838"/>
          <w:pgMar w:top="1440" w:right="1616" w:bottom="1440" w:left="1616" w:header="851" w:footer="992" w:gutter="0"/>
          <w:cols w:space="425" w:num="1"/>
          <w:docGrid w:type="lines" w:linePitch="312" w:charSpace="0"/>
        </w:sectPr>
      </w:pPr>
    </w:p>
    <w:p>
      <w:pPr>
        <w:rPr>
          <w:rFonts w:ascii="仿宋" w:hAnsi="仿宋" w:eastAsia="仿宋"/>
          <w:sz w:val="32"/>
          <w:szCs w:val="32"/>
        </w:rPr>
        <w:sectPr>
          <w:type w:val="continuous"/>
          <w:pgSz w:w="11906" w:h="16838"/>
          <w:pgMar w:top="1440" w:right="1616" w:bottom="1440" w:left="1616" w:header="851" w:footer="992" w:gutter="0"/>
          <w:cols w:space="425" w:num="1"/>
          <w:docGrid w:type="lines" w:linePitch="312" w:charSpace="0"/>
        </w:sectPr>
      </w:pPr>
    </w:p>
    <w:p>
      <w:pPr>
        <w:jc w:val="center"/>
        <w:rPr>
          <w:rFonts w:ascii="仿宋" w:hAnsi="仿宋" w:eastAsia="仿宋"/>
          <w:sz w:val="32"/>
          <w:szCs w:val="32"/>
        </w:rPr>
      </w:pPr>
      <w:r>
        <w:rPr>
          <w:rFonts w:hint="eastAsia" w:ascii="仿宋" w:hAnsi="仿宋" w:eastAsia="仿宋"/>
          <w:sz w:val="32"/>
          <w:szCs w:val="32"/>
        </w:rPr>
        <w:t>吉人社联〔</w:t>
      </w:r>
      <w:r>
        <w:rPr>
          <w:rFonts w:hint="eastAsia" w:ascii="仿宋" w:hAnsi="仿宋" w:eastAsia="仿宋"/>
          <w:sz w:val="32"/>
          <w:szCs w:val="32"/>
          <w:lang w:val="en-US" w:eastAsia="zh-CN"/>
        </w:rPr>
        <w:t>2021</w:t>
      </w:r>
      <w:bookmarkStart w:id="0" w:name="_GoBack"/>
      <w:bookmarkEnd w:id="0"/>
      <w:r>
        <w:rPr>
          <w:rFonts w:hint="eastAsia" w:ascii="仿宋" w:hAnsi="仿宋" w:eastAsia="仿宋"/>
          <w:sz w:val="32"/>
          <w:szCs w:val="32"/>
        </w:rPr>
        <w:t>〕80号</w:t>
      </w:r>
    </w:p>
    <w:p>
      <w:pPr>
        <w:jc w:val="center"/>
        <w:rPr>
          <w:rFonts w:ascii="仿宋" w:hAnsi="仿宋" w:eastAsia="仿宋"/>
          <w:sz w:val="32"/>
          <w:szCs w:val="32"/>
        </w:rPr>
      </w:pPr>
    </w:p>
    <w:p>
      <w:pPr>
        <w:jc w:val="center"/>
        <w:rPr>
          <w:rFonts w:asciiTheme="minorEastAsia" w:hAnsiTheme="minorEastAsia"/>
          <w:b/>
          <w:sz w:val="44"/>
          <w:szCs w:val="44"/>
        </w:rPr>
      </w:pPr>
      <w:r>
        <w:rPr>
          <w:rFonts w:hint="eastAsia" w:asciiTheme="minorEastAsia" w:hAnsiTheme="minorEastAsia"/>
          <w:b/>
          <w:sz w:val="44"/>
          <w:szCs w:val="44"/>
        </w:rPr>
        <w:t>关于落实延续实施部分减负稳岗</w:t>
      </w:r>
    </w:p>
    <w:p>
      <w:pPr>
        <w:jc w:val="center"/>
        <w:rPr>
          <w:rFonts w:asciiTheme="minorEastAsia" w:hAnsiTheme="minorEastAsia"/>
          <w:b/>
          <w:sz w:val="44"/>
          <w:szCs w:val="44"/>
        </w:rPr>
      </w:pPr>
      <w:r>
        <w:rPr>
          <w:rFonts w:hint="eastAsia" w:asciiTheme="minorEastAsia" w:hAnsiTheme="minorEastAsia"/>
          <w:b/>
          <w:sz w:val="44"/>
          <w:szCs w:val="44"/>
        </w:rPr>
        <w:t>扩就业政策措施的通知</w:t>
      </w: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各市（州）、长白山管委会、梅河口市人民政府：</w:t>
      </w:r>
    </w:p>
    <w:p>
      <w:pPr>
        <w:ind w:firstLine="640" w:firstLineChars="200"/>
        <w:rPr>
          <w:rFonts w:ascii="仿宋" w:hAnsi="仿宋" w:eastAsia="仿宋"/>
          <w:sz w:val="32"/>
          <w:szCs w:val="32"/>
        </w:rPr>
      </w:pPr>
      <w:r>
        <w:rPr>
          <w:rFonts w:hint="eastAsia" w:ascii="仿宋" w:hAnsi="仿宋" w:eastAsia="仿宋"/>
          <w:sz w:val="32"/>
          <w:szCs w:val="32"/>
        </w:rPr>
        <w:t>按照《人力资源社会保障部国家发展改革委 教育部 财政部中央军委国防动员部关于延续实施部分减负稳岗扩就业政策措施的通知》（人社部发[2021]29号）要求，经省政府同意，现就落实部分减负稳岗扩就业政策延续实施工作通知如下。</w:t>
      </w:r>
    </w:p>
    <w:p>
      <w:pPr>
        <w:ind w:firstLine="640" w:firstLineChars="200"/>
        <w:rPr>
          <w:rFonts w:ascii="黑体" w:hAnsi="黑体" w:eastAsia="黑体"/>
          <w:sz w:val="32"/>
          <w:szCs w:val="32"/>
        </w:rPr>
      </w:pPr>
      <w:r>
        <w:rPr>
          <w:rFonts w:hint="eastAsia" w:ascii="黑体" w:hAnsi="黑体" w:eastAsia="黑体"/>
          <w:sz w:val="32"/>
          <w:szCs w:val="32"/>
        </w:rPr>
        <w:t>一、继续实施普惠性失业保险稳岗返还政策</w:t>
      </w:r>
    </w:p>
    <w:p>
      <w:pPr>
        <w:ind w:firstLine="640" w:firstLineChars="200"/>
        <w:rPr>
          <w:rFonts w:ascii="仿宋" w:hAnsi="仿宋" w:eastAsia="仿宋"/>
          <w:sz w:val="32"/>
          <w:szCs w:val="32"/>
        </w:rPr>
      </w:pPr>
      <w:r>
        <w:rPr>
          <w:rFonts w:hint="eastAsia" w:ascii="仿宋" w:hAnsi="仿宋" w:eastAsia="仿宋"/>
          <w:sz w:val="32"/>
          <w:szCs w:val="32"/>
        </w:rPr>
        <w:t>参保企业上年度未裁员或裁员率不高于上年度全国城镇调查失业率控制目标(6%)，30人(含)以下的参保企业裁员率不高于参保职工总数20%的，可以申请失业保险稳岗返还。单位类型按现有划型结果确定。大型企业按不超过企业及其职工上年度实际缴纳失业保险费的30%返还，中小微企业按不超过60%返还。社会团体、基金会、社会服务机构、律师事务所、会计师事务所、以单位形式参保的个体经济组织等非机关事业单位一般按照中小微企业返还。各地可采取后台数据比对方式，直接向符合条件的企业精准发放稳岗返还。</w:t>
      </w:r>
    </w:p>
    <w:p>
      <w:pPr>
        <w:ind w:firstLine="640" w:firstLineChars="200"/>
        <w:rPr>
          <w:rFonts w:ascii="黑体" w:hAnsi="黑体" w:eastAsia="黑体"/>
          <w:sz w:val="32"/>
          <w:szCs w:val="32"/>
        </w:rPr>
      </w:pPr>
      <w:r>
        <w:rPr>
          <w:rFonts w:hint="eastAsia" w:ascii="黑体" w:hAnsi="黑体" w:eastAsia="黑体"/>
          <w:sz w:val="32"/>
          <w:szCs w:val="32"/>
        </w:rPr>
        <w:t>二、继续实施以工代训扩围政策</w:t>
      </w:r>
    </w:p>
    <w:p>
      <w:pPr>
        <w:ind w:firstLine="640" w:firstLineChars="200"/>
        <w:rPr>
          <w:rFonts w:ascii="仿宋" w:hAnsi="仿宋" w:eastAsia="仿宋"/>
          <w:sz w:val="32"/>
          <w:szCs w:val="32"/>
        </w:rPr>
      </w:pPr>
      <w:r>
        <w:rPr>
          <w:rFonts w:hint="eastAsia" w:ascii="仿宋" w:hAnsi="仿宋" w:eastAsia="仿宋"/>
          <w:sz w:val="32"/>
          <w:szCs w:val="32"/>
        </w:rPr>
        <w:t>按照《关于实施企业稳岗扩岗专项支持计划的通知》(吉人社联[2020]39号）文件规定，对中小微企业吸纳就业困难人员、零就业家庭成员、离校两年内高校毕业生、登记失业人员就业并开展以工代训的，根据吸纳人数给予企业职业培训补贴。对生产经营出现暂时困难导致停工停业的中小微企业组织职工以工代训的，根据以工代训人数给予企业职业培训补贴。各地可结合实际情况，将受疫情影响较大的住宿餐饮、文化旅游、交通运输、批发零售等行业的各类企业纳入补贴范围(中省直企业在属地办理)。</w:t>
      </w:r>
    </w:p>
    <w:p>
      <w:pPr>
        <w:ind w:firstLine="640" w:firstLineChars="200"/>
        <w:rPr>
          <w:rFonts w:ascii="黑体" w:hAnsi="黑体" w:eastAsia="黑体"/>
          <w:sz w:val="32"/>
          <w:szCs w:val="32"/>
        </w:rPr>
      </w:pPr>
      <w:r>
        <w:rPr>
          <w:rFonts w:hint="eastAsia" w:ascii="黑体" w:hAnsi="黑体" w:eastAsia="黑体"/>
          <w:sz w:val="32"/>
          <w:szCs w:val="32"/>
        </w:rPr>
        <w:t>三、继续实施困难人员培训生活费补贴政策</w:t>
      </w:r>
    </w:p>
    <w:p>
      <w:pPr>
        <w:ind w:firstLine="640" w:firstLineChars="200"/>
        <w:rPr>
          <w:rFonts w:ascii="仿宋" w:hAnsi="仿宋" w:eastAsia="仿宋"/>
          <w:sz w:val="32"/>
          <w:szCs w:val="32"/>
        </w:rPr>
      </w:pPr>
      <w:r>
        <w:rPr>
          <w:rFonts w:hint="eastAsia" w:ascii="仿宋" w:hAnsi="仿宋" w:eastAsia="仿宋"/>
          <w:sz w:val="32"/>
          <w:szCs w:val="32"/>
        </w:rPr>
        <w:t>对脱贫人口、就业困难人员、零就业家庭成员、“两后生”中的农村学员和城市低保家庭学员参加培训的，在落实职业培训补贴的同时，给予生活费(含交通费）补贴。补贴标准按照《吉林省人力资源和社会保障厅吉林省财政厅关于做好职业技能提升行动专账资金使用管理工作的通知》（吉人社发[2020]11号</w:t>
      </w:r>
      <w:r>
        <w:rPr>
          <w:rFonts w:ascii="仿宋" w:hAnsi="仿宋" w:eastAsia="仿宋"/>
          <w:sz w:val="32"/>
          <w:szCs w:val="32"/>
        </w:rPr>
        <w:t>）</w:t>
      </w:r>
      <w:r>
        <w:rPr>
          <w:rFonts w:hint="eastAsia" w:ascii="仿宋" w:hAnsi="仿宋" w:eastAsia="仿宋"/>
          <w:sz w:val="32"/>
          <w:szCs w:val="32"/>
        </w:rPr>
        <w:t>执行。</w:t>
      </w:r>
    </w:p>
    <w:p>
      <w:pPr>
        <w:ind w:firstLine="640" w:firstLineChars="200"/>
        <w:rPr>
          <w:rFonts w:ascii="黑体" w:hAnsi="黑体" w:eastAsia="黑体"/>
          <w:sz w:val="32"/>
          <w:szCs w:val="32"/>
        </w:rPr>
      </w:pPr>
      <w:r>
        <w:rPr>
          <w:rFonts w:hint="eastAsia" w:ascii="黑体" w:hAnsi="黑体" w:eastAsia="黑体"/>
          <w:sz w:val="32"/>
          <w:szCs w:val="32"/>
        </w:rPr>
        <w:t>四、继续放宽技能提升补贴申领条件</w:t>
      </w:r>
    </w:p>
    <w:p>
      <w:pPr>
        <w:ind w:firstLine="640" w:firstLineChars="200"/>
        <w:rPr>
          <w:rFonts w:ascii="仿宋" w:hAnsi="仿宋" w:eastAsia="仿宋"/>
          <w:sz w:val="32"/>
          <w:szCs w:val="32"/>
        </w:rPr>
      </w:pPr>
      <w:r>
        <w:rPr>
          <w:rFonts w:hint="eastAsia" w:ascii="仿宋" w:hAnsi="仿宋" w:eastAsia="仿宋"/>
          <w:sz w:val="32"/>
          <w:szCs w:val="32"/>
        </w:rPr>
        <w:t>参保职工取得职业资格证书或职业技能等级证书的，可按规定申请技能提升补贴。技能提升补贴申领条件，继续放宽至企业在职职工参加失业保险1年以上。2020年1月1日以后取得职业资格证书或职业技能等级证书的，执行期内不受取得证书12个月内申请的时限限制（证书颁发之日起至12个月申领期满前缴费必须满12个月）。</w:t>
      </w:r>
    </w:p>
    <w:p>
      <w:pPr>
        <w:ind w:firstLine="640" w:firstLineChars="200"/>
        <w:rPr>
          <w:rFonts w:ascii="黑体" w:hAnsi="黑体" w:eastAsia="黑体"/>
          <w:sz w:val="32"/>
          <w:szCs w:val="32"/>
        </w:rPr>
      </w:pPr>
      <w:r>
        <w:rPr>
          <w:rFonts w:hint="eastAsia" w:ascii="黑体" w:hAnsi="黑体" w:eastAsia="黑体"/>
          <w:sz w:val="32"/>
          <w:szCs w:val="32"/>
        </w:rPr>
        <w:t>五、继续实施就业见习补贴提前发放政策</w:t>
      </w:r>
    </w:p>
    <w:p>
      <w:pPr>
        <w:ind w:firstLine="640" w:firstLineChars="200"/>
        <w:rPr>
          <w:rFonts w:ascii="仿宋" w:hAnsi="仿宋" w:eastAsia="仿宋"/>
          <w:sz w:val="32"/>
          <w:szCs w:val="32"/>
        </w:rPr>
      </w:pPr>
      <w:r>
        <w:rPr>
          <w:rFonts w:hint="eastAsia" w:ascii="仿宋" w:hAnsi="仿宋" w:eastAsia="仿宋"/>
          <w:sz w:val="32"/>
          <w:szCs w:val="32"/>
        </w:rPr>
        <w:t>支持企业扩大见习岗位规模，对见习期未满与高校毕业生签订劳动合同的，给予见习单位剩余期限见习补贴。</w:t>
      </w:r>
    </w:p>
    <w:p>
      <w:pPr>
        <w:ind w:firstLine="640" w:firstLineChars="200"/>
        <w:rPr>
          <w:rFonts w:ascii="黑体" w:hAnsi="黑体" w:eastAsia="黑体"/>
          <w:sz w:val="32"/>
          <w:szCs w:val="32"/>
        </w:rPr>
      </w:pPr>
      <w:r>
        <w:rPr>
          <w:rFonts w:hint="eastAsia" w:ascii="黑体" w:hAnsi="黑体" w:eastAsia="黑体"/>
          <w:sz w:val="32"/>
          <w:szCs w:val="32"/>
        </w:rPr>
        <w:t>六、继续实施失业保险保障扩围政策</w:t>
      </w:r>
    </w:p>
    <w:p>
      <w:pPr>
        <w:ind w:firstLine="640" w:firstLineChars="200"/>
        <w:rPr>
          <w:rFonts w:ascii="仿宋" w:hAnsi="仿宋" w:eastAsia="仿宋"/>
          <w:sz w:val="32"/>
          <w:szCs w:val="32"/>
        </w:rPr>
      </w:pPr>
      <w:r>
        <w:rPr>
          <w:rFonts w:hint="eastAsia" w:ascii="仿宋" w:hAnsi="仿宋" w:eastAsia="仿宋"/>
          <w:sz w:val="32"/>
          <w:szCs w:val="32"/>
        </w:rPr>
        <w:t>对领取失业保险金期满仍未就业的失业人员、不符合领取失业保险金条件的参保失业人员，发放失业补助金；对参保不满1年的失业农民工，发放临时生活补助。保障范围为2021年1月1日之后新发生的参保失业人员(含2020年度符合领取失业补助金和临时生活补助条件未申领的参保失业人员及已申领但未满六个月失业补助金和三个月临时生活补助的参保失业人员），失业补助金每人最多可累计享受六个月，临时生活补助每人最多可累计享受三个月，不核减缴费年限。待遇标准按《关于扩大失业保险保障范围的通知》（吉人社联[2020]36号）执行，申领期限截止至2021年12月31日。发放失业补助金、临时生活补助期间不办理失业保险关系转出(转入）。</w:t>
      </w:r>
    </w:p>
    <w:p>
      <w:pPr>
        <w:ind w:firstLine="640" w:firstLineChars="200"/>
        <w:rPr>
          <w:rFonts w:ascii="黑体" w:hAnsi="黑体" w:eastAsia="黑体"/>
          <w:sz w:val="32"/>
          <w:szCs w:val="32"/>
        </w:rPr>
      </w:pPr>
      <w:r>
        <w:rPr>
          <w:rFonts w:hint="eastAsia" w:ascii="黑体" w:hAnsi="黑体" w:eastAsia="黑体"/>
          <w:sz w:val="32"/>
          <w:szCs w:val="32"/>
        </w:rPr>
        <w:t>七、支持毕业生基层就业和升学入伍</w:t>
      </w:r>
    </w:p>
    <w:p>
      <w:pPr>
        <w:ind w:firstLine="640" w:firstLineChars="200"/>
        <w:rPr>
          <w:rFonts w:ascii="仿宋" w:hAnsi="仿宋" w:eastAsia="仿宋"/>
          <w:sz w:val="32"/>
          <w:szCs w:val="32"/>
        </w:rPr>
      </w:pPr>
      <w:r>
        <w:rPr>
          <w:rFonts w:hint="eastAsia" w:ascii="仿宋" w:hAnsi="仿宋" w:eastAsia="仿宋"/>
          <w:sz w:val="32"/>
          <w:szCs w:val="32"/>
        </w:rPr>
        <w:t>稳定“三支一扶”计划等基层服务项目招募规模。适度扩大硕士研究生招生和普通高校专升本招生规模。稳定大学生应征入伍规模和征集比例，突出各级各类学校毕业生征集，拓宽高级技工学校、技师学院毕业生入伍通道。有条件的地区可出台“带岗征集”“带编入伍”的政策。</w:t>
      </w:r>
    </w:p>
    <w:p>
      <w:pPr>
        <w:ind w:firstLine="640" w:firstLineChars="200"/>
        <w:rPr>
          <w:rFonts w:ascii="黑体" w:hAnsi="黑体" w:eastAsia="黑体"/>
          <w:sz w:val="32"/>
          <w:szCs w:val="32"/>
        </w:rPr>
      </w:pPr>
      <w:r>
        <w:rPr>
          <w:rFonts w:hint="eastAsia" w:ascii="黑体" w:hAnsi="黑体" w:eastAsia="黑体"/>
          <w:sz w:val="32"/>
          <w:szCs w:val="32"/>
        </w:rPr>
        <w:t>八、支持毕业生自强自立、就业创业</w:t>
      </w:r>
    </w:p>
    <w:p>
      <w:pPr>
        <w:ind w:firstLine="640" w:firstLineChars="200"/>
        <w:rPr>
          <w:rFonts w:ascii="仿宋" w:hAnsi="仿宋" w:eastAsia="仿宋"/>
          <w:sz w:val="32"/>
          <w:szCs w:val="32"/>
        </w:rPr>
      </w:pPr>
      <w:r>
        <w:rPr>
          <w:rFonts w:hint="eastAsia" w:ascii="仿宋" w:hAnsi="仿宋" w:eastAsia="仿宋"/>
          <w:sz w:val="32"/>
          <w:szCs w:val="32"/>
        </w:rPr>
        <w:t>对自主创业的毕业生，精准提供创业培训、创业服务，按规定落实创业担保贷款及贴息、创业补贴、场地支持等扶持政策。将支持和促进高校毕业生等重点群体创业就业有关税收优惠政策延续实施至2025年12月31日。灵活就业的高校毕业生参加职工基本养老保险，可选择灵活的缴费方式，在省内规定的个人缴费基数上下限范围内选择适当的缴费基数，选择按月、按季、按半年或按年缴费。</w:t>
      </w:r>
    </w:p>
    <w:p>
      <w:pPr>
        <w:ind w:firstLine="640" w:firstLineChars="200"/>
        <w:rPr>
          <w:rFonts w:ascii="黑体" w:hAnsi="黑体" w:eastAsia="黑体"/>
          <w:sz w:val="32"/>
          <w:szCs w:val="32"/>
        </w:rPr>
      </w:pPr>
      <w:r>
        <w:rPr>
          <w:rFonts w:hint="eastAsia" w:ascii="黑体" w:hAnsi="黑体" w:eastAsia="黑体"/>
          <w:sz w:val="32"/>
          <w:szCs w:val="32"/>
        </w:rPr>
        <w:t>九、政策实施期限</w:t>
      </w:r>
    </w:p>
    <w:p>
      <w:pPr>
        <w:ind w:firstLine="640" w:firstLineChars="200"/>
        <w:rPr>
          <w:rFonts w:ascii="仿宋" w:hAnsi="仿宋" w:eastAsia="仿宋"/>
          <w:sz w:val="32"/>
          <w:szCs w:val="32"/>
        </w:rPr>
      </w:pPr>
      <w:r>
        <w:rPr>
          <w:rFonts w:hint="eastAsia" w:ascii="仿宋" w:hAnsi="仿宋" w:eastAsia="仿宋"/>
          <w:sz w:val="32"/>
          <w:szCs w:val="32"/>
        </w:rPr>
        <w:t>上述第一至七项政策受理期限截至2021年12月31日。对2020年度已受理、享受期未满的减负稳岗扩就业政策，可继续按原政策享受至期满为止。</w:t>
      </w:r>
    </w:p>
    <w:p>
      <w:pPr>
        <w:ind w:firstLine="640" w:firstLineChars="200"/>
        <w:rPr>
          <w:rFonts w:ascii="黑体" w:hAnsi="黑体" w:eastAsia="黑体"/>
          <w:sz w:val="32"/>
          <w:szCs w:val="32"/>
        </w:rPr>
      </w:pPr>
      <w:r>
        <w:rPr>
          <w:rFonts w:hint="eastAsia" w:ascii="黑体" w:hAnsi="黑体" w:eastAsia="黑体"/>
          <w:sz w:val="32"/>
          <w:szCs w:val="32"/>
        </w:rPr>
        <w:t>十、落实政策要求</w:t>
      </w:r>
    </w:p>
    <w:p>
      <w:pPr>
        <w:ind w:firstLine="640" w:firstLineChars="200"/>
        <w:rPr>
          <w:rFonts w:ascii="仿宋" w:hAnsi="仿宋" w:eastAsia="仿宋"/>
          <w:sz w:val="32"/>
          <w:szCs w:val="32"/>
        </w:rPr>
      </w:pPr>
      <w:r>
        <w:rPr>
          <w:rFonts w:hint="eastAsia" w:ascii="仿宋" w:hAnsi="仿宋" w:eastAsia="仿宋"/>
          <w:sz w:val="32"/>
          <w:szCs w:val="32"/>
        </w:rPr>
        <w:t>各地要继续落实好各项长期就业创业扶持政策，对就业困难人员、离校两年内未就业高校业生灵活就业后缴纳社会保险费的，按规定给予社会保险补贴；对重点群体自主创业或被用人单位吸纳就业的、按规定给予税收减免、创业担保贷款及贴息、社会保险补贴、职业培训补贴、创业补贴等。持续加大就业政策宣传落实力度，分类精准推送政策信息，提升就业政策知晓度和到达率，推动更多政策网上办、自助办、帮办快办，提高政策享受便利化水平，促进就业大局持续稳定。</w:t>
      </w: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left="6080" w:hanging="6080" w:hangingChars="1900"/>
        <w:rPr>
          <w:rFonts w:ascii="仿宋" w:hAnsi="仿宋" w:eastAsia="仿宋"/>
          <w:sz w:val="32"/>
          <w:szCs w:val="32"/>
        </w:rPr>
      </w:pPr>
      <w:r>
        <w:rPr>
          <w:rFonts w:hint="eastAsia" w:ascii="仿宋" w:hAnsi="仿宋" w:eastAsia="仿宋"/>
          <w:sz w:val="32"/>
          <w:szCs w:val="32"/>
        </w:rPr>
        <w:t>吉林省人力资源和社会保障厅  中共吉林省委机构编制委员会办公室</w:t>
      </w:r>
    </w:p>
    <w:p>
      <w:pPr>
        <w:ind w:left="6080" w:hanging="6080" w:hangingChars="1900"/>
        <w:rPr>
          <w:rFonts w:ascii="仿宋" w:hAnsi="仿宋" w:eastAsia="仿宋"/>
          <w:sz w:val="32"/>
          <w:szCs w:val="32"/>
        </w:rPr>
      </w:pPr>
      <w:r>
        <w:rPr>
          <w:rFonts w:hint="eastAsia" w:ascii="仿宋" w:hAnsi="仿宋" w:eastAsia="仿宋"/>
          <w:sz w:val="32"/>
          <w:szCs w:val="32"/>
        </w:rPr>
        <w:t>吉林省发展改革委             吉林省教育厅</w:t>
      </w:r>
    </w:p>
    <w:p>
      <w:pPr>
        <w:ind w:left="6080" w:hanging="6080" w:hangingChars="1900"/>
        <w:rPr>
          <w:rFonts w:ascii="仿宋" w:hAnsi="仿宋" w:eastAsia="仿宋"/>
          <w:sz w:val="32"/>
          <w:szCs w:val="32"/>
        </w:rPr>
      </w:pPr>
    </w:p>
    <w:p>
      <w:pPr>
        <w:ind w:left="6080" w:hanging="6080" w:hangingChars="1900"/>
        <w:rPr>
          <w:rFonts w:ascii="仿宋" w:hAnsi="仿宋" w:eastAsia="仿宋"/>
          <w:sz w:val="32"/>
          <w:szCs w:val="32"/>
        </w:rPr>
      </w:pPr>
      <w:r>
        <w:rPr>
          <w:rFonts w:hint="eastAsia" w:ascii="仿宋" w:hAnsi="仿宋" w:eastAsia="仿宋"/>
          <w:sz w:val="32"/>
          <w:szCs w:val="32"/>
        </w:rPr>
        <w:t>吉林省财政厅                 吉林省人民政府征兵办公室</w:t>
      </w:r>
    </w:p>
    <w:p>
      <w:pPr>
        <w:ind w:left="6073" w:leftChars="1368" w:hanging="3200" w:hangingChars="1000"/>
        <w:rPr>
          <w:rFonts w:ascii="仿宋" w:hAnsi="仿宋" w:eastAsia="仿宋"/>
          <w:sz w:val="32"/>
          <w:szCs w:val="32"/>
        </w:rPr>
      </w:pPr>
      <w:r>
        <w:rPr>
          <w:rFonts w:hint="eastAsia" w:ascii="仿宋" w:hAnsi="仿宋" w:eastAsia="仿宋"/>
          <w:sz w:val="32"/>
          <w:szCs w:val="32"/>
        </w:rPr>
        <w:t>2021年7月20日</w:t>
      </w: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rPr>
          <w:rFonts w:ascii="仿宋" w:hAnsi="仿宋" w:eastAsia="仿宋"/>
          <w:sz w:val="32"/>
          <w:szCs w:val="32"/>
        </w:rPr>
      </w:pPr>
    </w:p>
    <w:sectPr>
      <w:type w:val="continuous"/>
      <w:pgSz w:w="11906" w:h="16838"/>
      <w:pgMar w:top="1440" w:right="1616" w:bottom="1440" w:left="161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E049E"/>
    <w:rsid w:val="000144DE"/>
    <w:rsid w:val="001A55A0"/>
    <w:rsid w:val="001B7EDD"/>
    <w:rsid w:val="001D6DE7"/>
    <w:rsid w:val="003E6FAB"/>
    <w:rsid w:val="0042204F"/>
    <w:rsid w:val="004652EE"/>
    <w:rsid w:val="00467656"/>
    <w:rsid w:val="004A7D21"/>
    <w:rsid w:val="0054271A"/>
    <w:rsid w:val="006909FD"/>
    <w:rsid w:val="00813ECB"/>
    <w:rsid w:val="009838F7"/>
    <w:rsid w:val="00983EC7"/>
    <w:rsid w:val="00A5467C"/>
    <w:rsid w:val="00A55959"/>
    <w:rsid w:val="00A936F2"/>
    <w:rsid w:val="00AC07E2"/>
    <w:rsid w:val="00B83A1F"/>
    <w:rsid w:val="00BD749F"/>
    <w:rsid w:val="00CA42F1"/>
    <w:rsid w:val="00CE049E"/>
    <w:rsid w:val="00D02F3B"/>
    <w:rsid w:val="00E845C8"/>
    <w:rsid w:val="00E97178"/>
    <w:rsid w:val="00F41F40"/>
    <w:rsid w:val="00FC5816"/>
    <w:rsid w:val="360C19F9"/>
    <w:rsid w:val="4B041B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wimxt.com</Company>
  <Pages>5</Pages>
  <Words>335</Words>
  <Characters>1910</Characters>
  <Lines>15</Lines>
  <Paragraphs>4</Paragraphs>
  <TotalTime>71</TotalTime>
  <ScaleCrop>false</ScaleCrop>
  <LinksUpToDate>false</LinksUpToDate>
  <CharactersWithSpaces>2241</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2021-09-06T06:50:00Z</dcterms:created>
  <dc:creator>Administrator</dc:creator>
  <cp:lastModifiedBy>Administrator</cp:lastModifiedBy>
  <dcterms:modified xsi:type="dcterms:W3CDTF">2021-09-30T02:48:44Z</dcterms:modified>
  <cp:revision>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545C0D0C37A545E4B62C552F462CA424</vt:lpwstr>
  </property>
</Properties>
</file>