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B8" w:rsidRDefault="00AB32B8" w:rsidP="00AB32B8">
      <w:pPr>
        <w:spacing w:line="560" w:lineRule="exact"/>
        <w:jc w:val="left"/>
        <w:rPr>
          <w:rFonts w:ascii="黑体" w:eastAsia="黑体" w:hAnsi="黑体" w:cs="黑体"/>
          <w:sz w:val="32"/>
          <w:szCs w:val="32"/>
        </w:rPr>
      </w:pPr>
      <w:r>
        <w:rPr>
          <w:rFonts w:ascii="黑体" w:eastAsia="黑体" w:hAnsi="黑体" w:cs="黑体" w:hint="eastAsia"/>
          <w:sz w:val="32"/>
          <w:szCs w:val="32"/>
        </w:rPr>
        <w:t>附件2</w:t>
      </w:r>
    </w:p>
    <w:p w:rsidR="00AB32B8" w:rsidRDefault="00AB32B8" w:rsidP="00AB32B8">
      <w:pPr>
        <w:spacing w:line="560" w:lineRule="exact"/>
        <w:jc w:val="center"/>
        <w:rPr>
          <w:rFonts w:asciiTheme="majorEastAsia" w:eastAsiaTheme="majorEastAsia" w:hAnsiTheme="majorEastAsia" w:cstheme="majorEastAsia"/>
          <w:b/>
          <w:bCs/>
          <w:sz w:val="44"/>
          <w:szCs w:val="44"/>
        </w:rPr>
      </w:pPr>
    </w:p>
    <w:p w:rsidR="00AB32B8" w:rsidRDefault="00AB32B8" w:rsidP="00AB32B8">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吉林省创建“薪安项目”验收标准</w:t>
      </w:r>
    </w:p>
    <w:p w:rsidR="00AB32B8" w:rsidRDefault="00AB32B8" w:rsidP="00AB32B8">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及评分细则</w:t>
      </w:r>
    </w:p>
    <w:p w:rsidR="00AB32B8" w:rsidRDefault="00AB32B8" w:rsidP="00AB32B8">
      <w:pPr>
        <w:spacing w:line="560" w:lineRule="exact"/>
        <w:jc w:val="left"/>
        <w:rPr>
          <w:rFonts w:ascii="仿宋" w:eastAsia="仿宋" w:hAnsi="仿宋" w:cs="仿宋"/>
          <w:sz w:val="32"/>
          <w:szCs w:val="32"/>
        </w:rPr>
      </w:pP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吉林省创建“薪安项目”验收标准及评分细则相关内容如下：</w:t>
      </w:r>
    </w:p>
    <w:p w:rsidR="00AB32B8" w:rsidRDefault="00AB32B8" w:rsidP="00AB32B8">
      <w:pPr>
        <w:spacing w:line="560" w:lineRule="exact"/>
        <w:ind w:firstLine="640"/>
        <w:jc w:val="left"/>
        <w:rPr>
          <w:rFonts w:ascii="黑体" w:eastAsia="黑体" w:hAnsi="黑体" w:cs="黑体"/>
          <w:sz w:val="32"/>
          <w:szCs w:val="32"/>
        </w:rPr>
      </w:pPr>
      <w:r>
        <w:rPr>
          <w:rFonts w:ascii="黑体" w:eastAsia="黑体" w:hAnsi="黑体" w:cs="黑体" w:hint="eastAsia"/>
          <w:sz w:val="32"/>
          <w:szCs w:val="32"/>
        </w:rPr>
        <w:t>一、验收标准</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（一）验收总分为100分（不含加分项），“薪安项目”合格分为95分。扣分时，不符合要求即扣除相应分值，单项扣完为止；加分时，以不超过单项基本分为限。</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（二）同一事项根据不同情形有不同扣分标准的，适用扣分高的情形，对扣分低的不作重复扣分。</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（三）在验收中发现弄虚作假、虚报谎报的，按该事项扣分标准</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加倍扣分处理。</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（四）存在以下情形之一的，一票否决。</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1.工程建设项目存在应办理而未办理施工许可证或审批手续先行施工的问题。</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2.政府投资项目存在未经批准立项先行建设、垫资建设等问题的。</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3.两年内工程建设项目存在违法发包、分包、转包、挂靠承包等违法行为。</w:t>
      </w:r>
    </w:p>
    <w:p w:rsidR="00AB32B8" w:rsidRDefault="00AB32B8" w:rsidP="00AB32B8">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4.两年内因欠薪问题引发群体性事件、极端事件或有影响的网络舆情事件的。</w:t>
      </w:r>
    </w:p>
    <w:p w:rsidR="00AB32B8" w:rsidRDefault="00AB32B8" w:rsidP="00AB32B8">
      <w:pPr>
        <w:jc w:val="left"/>
        <w:rPr>
          <w:rFonts w:ascii="仿宋" w:eastAsia="仿宋" w:hAnsi="仿宋" w:cs="仿宋"/>
          <w:sz w:val="32"/>
          <w:szCs w:val="32"/>
        </w:rPr>
        <w:sectPr w:rsidR="00AB32B8">
          <w:footerReference w:type="default" r:id="rId7"/>
          <w:pgSz w:w="11906" w:h="16838"/>
          <w:pgMar w:top="1440" w:right="1800" w:bottom="1440" w:left="1800" w:header="851" w:footer="992" w:gutter="0"/>
          <w:cols w:space="425"/>
          <w:docGrid w:type="lines" w:linePitch="312"/>
        </w:sectPr>
      </w:pPr>
    </w:p>
    <w:p w:rsidR="00AB32B8" w:rsidRDefault="00AB32B8" w:rsidP="00AB32B8">
      <w:pPr>
        <w:ind w:firstLineChars="200" w:firstLine="640"/>
        <w:jc w:val="left"/>
        <w:rPr>
          <w:rFonts w:ascii="黑体" w:eastAsia="黑体" w:hAnsi="黑体" w:cs="黑体"/>
          <w:sz w:val="32"/>
          <w:szCs w:val="32"/>
        </w:rPr>
      </w:pPr>
      <w:r>
        <w:rPr>
          <w:rFonts w:ascii="黑体" w:eastAsia="黑体" w:hAnsi="黑体" w:cs="黑体" w:hint="eastAsia"/>
          <w:sz w:val="32"/>
          <w:szCs w:val="32"/>
        </w:rPr>
        <w:t>二、评分细则</w:t>
      </w:r>
    </w:p>
    <w:p w:rsidR="00AB32B8" w:rsidRDefault="00AB32B8" w:rsidP="00AB32B8">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工程建设领域“薪安项目”认定评分细则</w:t>
      </w:r>
    </w:p>
    <w:p w:rsidR="00AB32B8" w:rsidRDefault="00AB32B8" w:rsidP="00AB32B8">
      <w:pPr>
        <w:jc w:val="left"/>
        <w:rPr>
          <w:rFonts w:ascii="仿宋" w:eastAsia="仿宋" w:hAnsi="仿宋" w:cs="仿宋"/>
          <w:sz w:val="24"/>
          <w:u w:val="single"/>
        </w:rPr>
      </w:pPr>
      <w:r>
        <w:rPr>
          <w:rFonts w:ascii="仿宋" w:eastAsia="仿宋" w:hAnsi="仿宋" w:cs="仿宋" w:hint="eastAsia"/>
          <w:sz w:val="24"/>
        </w:rPr>
        <w:t>考核验收对象（项目名称）：</w:t>
      </w:r>
      <w:r>
        <w:rPr>
          <w:rFonts w:ascii="仿宋" w:eastAsia="仿宋" w:hAnsi="仿宋" w:cs="仿宋" w:hint="eastAsia"/>
          <w:sz w:val="24"/>
          <w:u w:val="single"/>
        </w:rPr>
        <w:t xml:space="preserve">             </w:t>
      </w:r>
      <w:r>
        <w:rPr>
          <w:rFonts w:ascii="仿宋" w:eastAsia="仿宋" w:hAnsi="仿宋" w:cs="仿宋" w:hint="eastAsia"/>
          <w:sz w:val="24"/>
        </w:rPr>
        <w:t xml:space="preserve">                                               考核验收日期：</w:t>
      </w:r>
      <w:r>
        <w:rPr>
          <w:rFonts w:ascii="仿宋" w:eastAsia="仿宋" w:hAnsi="仿宋" w:cs="仿宋" w:hint="eastAsia"/>
          <w:sz w:val="24"/>
          <w:u w:val="single"/>
        </w:rPr>
        <w:t xml:space="preserve">                 </w:t>
      </w:r>
    </w:p>
    <w:tbl>
      <w:tblPr>
        <w:tblStyle w:val="a5"/>
        <w:tblW w:w="15910" w:type="dxa"/>
        <w:jc w:val="center"/>
        <w:tblLayout w:type="fixed"/>
        <w:tblLook w:val="04A0" w:firstRow="1" w:lastRow="0" w:firstColumn="1" w:lastColumn="0" w:noHBand="0" w:noVBand="1"/>
      </w:tblPr>
      <w:tblGrid>
        <w:gridCol w:w="539"/>
        <w:gridCol w:w="945"/>
        <w:gridCol w:w="3695"/>
        <w:gridCol w:w="750"/>
        <w:gridCol w:w="780"/>
        <w:gridCol w:w="735"/>
        <w:gridCol w:w="4810"/>
        <w:gridCol w:w="3656"/>
      </w:tblGrid>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序号</w:t>
            </w:r>
          </w:p>
        </w:tc>
        <w:tc>
          <w:tcPr>
            <w:tcW w:w="945"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考核</w:t>
            </w:r>
          </w:p>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项目</w:t>
            </w:r>
          </w:p>
        </w:tc>
        <w:tc>
          <w:tcPr>
            <w:tcW w:w="3695"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考核内容</w:t>
            </w:r>
          </w:p>
        </w:tc>
        <w:tc>
          <w:tcPr>
            <w:tcW w:w="750"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基本</w:t>
            </w:r>
          </w:p>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分值</w:t>
            </w:r>
          </w:p>
        </w:tc>
        <w:tc>
          <w:tcPr>
            <w:tcW w:w="780"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扣分</w:t>
            </w:r>
          </w:p>
        </w:tc>
        <w:tc>
          <w:tcPr>
            <w:tcW w:w="735"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评定</w:t>
            </w:r>
          </w:p>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分值</w:t>
            </w:r>
          </w:p>
        </w:tc>
        <w:tc>
          <w:tcPr>
            <w:tcW w:w="4810"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评分标准</w:t>
            </w:r>
          </w:p>
        </w:tc>
        <w:tc>
          <w:tcPr>
            <w:tcW w:w="3656" w:type="dxa"/>
            <w:vAlign w:val="center"/>
          </w:tcPr>
          <w:p w:rsidR="00AB32B8" w:rsidRDefault="00AB32B8" w:rsidP="009A5D84">
            <w:pPr>
              <w:spacing w:line="320" w:lineRule="exact"/>
              <w:jc w:val="center"/>
              <w:rPr>
                <w:rFonts w:ascii="仿宋" w:eastAsia="仿宋" w:hAnsi="仿宋" w:cs="仿宋"/>
                <w:b/>
                <w:bCs/>
                <w:sz w:val="24"/>
              </w:rPr>
            </w:pPr>
            <w:r>
              <w:rPr>
                <w:rFonts w:ascii="仿宋" w:eastAsia="仿宋" w:hAnsi="仿宋" w:cs="仿宋" w:hint="eastAsia"/>
                <w:b/>
                <w:bCs/>
                <w:sz w:val="24"/>
              </w:rPr>
              <w:t>考核方式</w:t>
            </w:r>
          </w:p>
        </w:tc>
      </w:tr>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组织领导和宣传落实</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施工总承包单位牵头，会同建设单位、分包单位设立创建机构，共同制定创建“薪安项目”活动实施方案，定期召开会议</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□存在未设立创建机构的，扣5分；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□存在未出台相关活动方案的，扣1分；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□未召开会议的，扣1分；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查阅相关佐证材料</w:t>
            </w:r>
          </w:p>
        </w:tc>
      </w:tr>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参与创建活动的项目在施工现场醒目位置设立创建“薪安项目”活动告示牌</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□存在未设立告示牌的，扣5分。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现场查看</w:t>
            </w:r>
          </w:p>
        </w:tc>
      </w:tr>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3</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积极开展宣传活动，施工现场农民工知晓率（知晓率＝知晓人数/抽查人数</w:t>
            </w:r>
            <w:r>
              <w:rPr>
                <w:rFonts w:ascii="Arial" w:eastAsia="仿宋" w:hAnsi="Arial" w:cs="Arial"/>
                <w:sz w:val="24"/>
              </w:rPr>
              <w:t>×</w:t>
            </w:r>
            <w:r>
              <w:rPr>
                <w:rFonts w:ascii="仿宋" w:eastAsia="仿宋" w:hAnsi="仿宋" w:cs="仿宋" w:hint="eastAsia"/>
                <w:sz w:val="24"/>
              </w:rPr>
              <w:t>100%）</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抽查知晓率：□90%及以上的，不扣分；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□80%-89%，扣1分；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□低于80%的，扣2分。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现场走访或电话抽查</w:t>
            </w:r>
          </w:p>
        </w:tc>
      </w:tr>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4</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用工管理和工资支付保障制度落实（建设单位）</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项目按合同约定计量周期或工程进度进行结算并支付工程款，不存在违规以未完成审计等理由延期工程结算、拖欠工程款的情况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□存在未按合同约定计量周期或工程进度进行结算并支付工程款的，扣2分；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□存在违规以未完成审计等理由延期工程结算、拖欠工程款的，扣2分；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查看工程施工合同中关于工程款计周期、工程款结算办法的约定，并与工程款拨付凭证进行比对</w:t>
            </w:r>
          </w:p>
        </w:tc>
      </w:tr>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施工合同约定人工费用和拨付周期的情况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3</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□存在施工合同未约定人工费用和拨付周期的，扣3分。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查看建设单位与项目施工总承包单位订立的工程施工合同是否对人工费用、拨付周期有约定</w:t>
            </w:r>
          </w:p>
        </w:tc>
      </w:tr>
      <w:tr w:rsidR="00AB32B8" w:rsidTr="009A5D84">
        <w:trPr>
          <w:trHeight w:val="811"/>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6</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用工管理和工资支付保障制度落实（建设单位）</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建设单位足额向施工总承包单位开设的农民工专用账户拨付人工费用的情况（拨付周期不超过1个月）</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rPr>
                <w:rFonts w:ascii="仿宋" w:eastAsia="仿宋" w:hAnsi="仿宋" w:cs="仿宋"/>
                <w:sz w:val="24"/>
              </w:rPr>
            </w:pPr>
            <w:r>
              <w:rPr>
                <w:rFonts w:ascii="仿宋" w:eastAsia="仿宋" w:hAnsi="仿宋" w:cs="仿宋" w:hint="eastAsia"/>
                <w:sz w:val="24"/>
              </w:rPr>
              <w:t>□存在建设单位未按约定及时向项目施工总承包单位开设的农民工专用账户拨付人工费用（或拨付周期超过1个月）且农民工工资专用账户余额不足以支付当月农民工工资的，扣2分；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□存在建设单位拨付周期超过1个月，但提前拨付人工费用且农民工工资专用账户余额足够支付2个月以上农民工工资的，不扣分。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查看建设单位向项目施工总承包单位开设的农民工工资专用账户拨付人工费用的拨付凭证及工资</w:t>
            </w:r>
            <w:proofErr w:type="gramStart"/>
            <w:r>
              <w:rPr>
                <w:rFonts w:ascii="仿宋" w:eastAsia="仿宋" w:hAnsi="仿宋" w:cs="仿宋" w:hint="eastAsia"/>
                <w:sz w:val="24"/>
              </w:rPr>
              <w:t>支付台</w:t>
            </w:r>
            <w:proofErr w:type="gramEnd"/>
            <w:r>
              <w:rPr>
                <w:rFonts w:ascii="仿宋" w:eastAsia="仿宋" w:hAnsi="仿宋" w:cs="仿宋" w:hint="eastAsia"/>
                <w:sz w:val="24"/>
              </w:rPr>
              <w:t>账。</w:t>
            </w:r>
          </w:p>
        </w:tc>
      </w:tr>
      <w:tr w:rsidR="00AB32B8" w:rsidTr="009A5D84">
        <w:trPr>
          <w:trHeight w:val="672"/>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7</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项目办理工程款支付担保的情况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□存在未按规定办理工程款支付担保的，扣5分。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查看担保合同原件或复印件</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8</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建设单位对施工总承包单位的劳动用工管理和农民工工资按时足额支付的监督情况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□存在未进行相关监督检查的，扣2分。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查看相关监督检查记录</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9</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用工管理和工资支付保障制度落实（施工总承包单位、分包单位）</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项目施工总承包单位或分包单位通过吉林省执法监察信息化监管平台和吉林省建筑工人实名制管理平台记录施工现场作业农民工的身份信息、劳动考勤、工资结算等信息，与农民工签订劳动合同的情况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10</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□存在未使用吉林省执法监察信息化监管平台和建筑工人实名制管理平台的，扣10分；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□信息平台中存在工程项目信息不全，每缺失一项扣1分；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□存在人员信息不一致的，每发现1人次，扣0.5分；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□存在未签订劳动合同情况的，每发现1人次，扣0.5分；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proofErr w:type="gramStart"/>
            <w:r>
              <w:rPr>
                <w:rFonts w:ascii="仿宋" w:eastAsia="仿宋" w:hAnsi="仿宋" w:cs="仿宋" w:hint="eastAsia"/>
                <w:sz w:val="24"/>
              </w:rPr>
              <w:t>核查林省执法</w:t>
            </w:r>
            <w:proofErr w:type="gramEnd"/>
            <w:r>
              <w:rPr>
                <w:rFonts w:ascii="仿宋" w:eastAsia="仿宋" w:hAnsi="仿宋" w:cs="仿宋" w:hint="eastAsia"/>
                <w:sz w:val="24"/>
              </w:rPr>
              <w:t>监察信息化监管平台和吉林省建筑工人实名制管理平台项目信息录入情况，核查劳动班组从进场到退场人员名册，并与实名制信息化管理系统、劳动合同、考勤记录、工资支付表等进行比对（与第16、19条结合）</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10</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项目施工总承包单位、分包单位建立用工管理台账的情况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□存在用工管理台账不齐全的，每缺1种资料扣1分，本项分值扣完为止。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查看项目的劳动合同、员工名册、考勤表、工资支付表、银行代发工资凭证等资料是否齐全</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11</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用工管理和工资支付保障制度落实（施工总承包单位、分包单位）</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项目施工总承包单位及分包单位以工资支付周期（不超过1个月）编制工资表、考勤表等书面工资</w:t>
            </w:r>
            <w:proofErr w:type="gramStart"/>
            <w:r>
              <w:rPr>
                <w:rFonts w:ascii="仿宋" w:eastAsia="仿宋" w:hAnsi="仿宋" w:cs="仿宋" w:hint="eastAsia"/>
                <w:sz w:val="24"/>
              </w:rPr>
              <w:t>支付台账情况</w:t>
            </w:r>
            <w:proofErr w:type="gramEnd"/>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□存在未按工资支付周期（不超过1个月）编制工资表、考勤表等书面工资</w:t>
            </w:r>
            <w:proofErr w:type="gramStart"/>
            <w:r>
              <w:rPr>
                <w:rFonts w:ascii="仿宋" w:eastAsia="仿宋" w:hAnsi="仿宋" w:cs="仿宋" w:hint="eastAsia"/>
                <w:sz w:val="24"/>
              </w:rPr>
              <w:t>支付台</w:t>
            </w:r>
            <w:proofErr w:type="gramEnd"/>
            <w:r>
              <w:rPr>
                <w:rFonts w:ascii="仿宋" w:eastAsia="仿宋" w:hAnsi="仿宋" w:cs="仿宋" w:hint="eastAsia"/>
                <w:sz w:val="24"/>
              </w:rPr>
              <w:t>账的，扣5分。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查看项目施工总承包单位及分包单位以工资支付周期编制的书面工资</w:t>
            </w:r>
            <w:proofErr w:type="gramStart"/>
            <w:r>
              <w:rPr>
                <w:rFonts w:ascii="仿宋" w:eastAsia="仿宋" w:hAnsi="仿宋" w:cs="仿宋" w:hint="eastAsia"/>
                <w:sz w:val="24"/>
              </w:rPr>
              <w:t>支付台</w:t>
            </w:r>
            <w:proofErr w:type="gramEnd"/>
            <w:r>
              <w:rPr>
                <w:rFonts w:ascii="仿宋" w:eastAsia="仿宋" w:hAnsi="仿宋" w:cs="仿宋" w:hint="eastAsia"/>
                <w:sz w:val="24"/>
              </w:rPr>
              <w:t>账</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12</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项目施工总承包单位及分包单位配备劳资专管员的情况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□存在项目施工总承包单位及分包单位未配备劳资专管员的情况或者劳资专管员聘用合同和身份信息，与用工管理相关资料不一致的，扣5分。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查年劳资专管员的聘用合同和身份信息，并与用工管理相关资料进行比对</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13</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项目施工总承包单位开设农民工工资专用账户的情况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□存在项目施工总承包单位未按要求开设农民工工资专用账户的，扣5分。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查看农民工工资专用账户开户凭证、三方监管协议等</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14</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项目按照规定足额存储农民工工资保证金的情况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8</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□存在项目不按规定存储农民工工资保证金的，扣8分。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查看农民工工资保证金存储凭证和工程施工合同</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15</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项目分包单位委托施工总承包单位通过农民工工资专用账户委托银行直接发放工资的情况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□存在未通过农民工工资专用账户代发工资的，扣5分；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□存在未签订农民工工资代发协议的，扣2分。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查看项目分包单位与施工总承包单位签订的农民工工资代发协议，检查银行代发凭证</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16</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项目施工总承包单位按月足额发放工资的情况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□存在未按月足额发放工资的，每发现1人次，扣0.5分，本项分值扣完为止。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现场走访或电话抽查</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17</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项目农民工本人社会保障卡或银行卡由本人保管，以及是否存在克扣工资的情况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3</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□存在用人单位或其他人员扣押或变相扣押农民工本人社会保障卡或银行卡，或者发现无故克扣工资的，每发现1人次，扣0.5分，本项分值扣完为止。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现场走访或电话抽查</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18</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用工管理和工资支付保障制度落实（施工总承包单位、分包单位）</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项目在施工现场设立维</w:t>
            </w:r>
            <w:proofErr w:type="gramStart"/>
            <w:r>
              <w:rPr>
                <w:rFonts w:ascii="仿宋" w:eastAsia="仿宋" w:hAnsi="仿宋" w:cs="仿宋" w:hint="eastAsia"/>
                <w:sz w:val="24"/>
              </w:rPr>
              <w:t>权信息</w:t>
            </w:r>
            <w:proofErr w:type="gramEnd"/>
            <w:r>
              <w:rPr>
                <w:rFonts w:ascii="仿宋" w:eastAsia="仿宋" w:hAnsi="仿宋" w:cs="仿宋" w:hint="eastAsia"/>
                <w:sz w:val="24"/>
              </w:rPr>
              <w:t>告示牌的情况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□存在未在施工现场醒目位置设立维</w:t>
            </w:r>
            <w:proofErr w:type="gramStart"/>
            <w:r>
              <w:rPr>
                <w:rFonts w:ascii="仿宋" w:eastAsia="仿宋" w:hAnsi="仿宋" w:cs="仿宋" w:hint="eastAsia"/>
                <w:sz w:val="24"/>
              </w:rPr>
              <w:t>权信息</w:t>
            </w:r>
            <w:proofErr w:type="gramEnd"/>
            <w:r>
              <w:rPr>
                <w:rFonts w:ascii="仿宋" w:eastAsia="仿宋" w:hAnsi="仿宋" w:cs="仿宋" w:hint="eastAsia"/>
                <w:sz w:val="24"/>
              </w:rPr>
              <w:t>告示牌的，扣5分；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□存在维</w:t>
            </w:r>
            <w:proofErr w:type="gramStart"/>
            <w:r>
              <w:rPr>
                <w:rFonts w:ascii="仿宋" w:eastAsia="仿宋" w:hAnsi="仿宋" w:cs="仿宋" w:hint="eastAsia"/>
                <w:sz w:val="24"/>
              </w:rPr>
              <w:t>权信息</w:t>
            </w:r>
            <w:proofErr w:type="gramEnd"/>
            <w:r>
              <w:rPr>
                <w:rFonts w:ascii="仿宋" w:eastAsia="仿宋" w:hAnsi="仿宋" w:cs="仿宋" w:hint="eastAsia"/>
                <w:sz w:val="24"/>
              </w:rPr>
              <w:t>告示牌内容不规范的，扣2分。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现场查看</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19</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项目分包单位按月考核农民工工作量并编制工资支付表（无分包单位的，由施工总承包单位考核并编制工资支付表）；工资支付表经农民工本人签字的情况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5</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□存在未按月考核农民工工作量并编制工资支付表的，扣5分；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□存在农民工工资支付表代签或未签情况的，每发现1人次，扣0.5分，本项分值扣完为止。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检查项目农民工工资支付表并查看农民工本人签字确认情况</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20</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施工总承包单位对分包单位劳动用工和工资发放等情况实施监督管理的情况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□存在未进行相关监督检查的，扣2分。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查看相关监督检查记录</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21</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项目用工管理和工资支付相关纸质资料和电子档案的管理归档情况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3</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rPr>
                <w:rFonts w:ascii="仿宋" w:eastAsia="仿宋" w:hAnsi="仿宋" w:cs="仿宋"/>
                <w:sz w:val="24"/>
              </w:rPr>
            </w:pPr>
            <w:r>
              <w:rPr>
                <w:rFonts w:ascii="仿宋" w:eastAsia="仿宋" w:hAnsi="仿宋" w:cs="仿宋" w:hint="eastAsia"/>
                <w:sz w:val="24"/>
              </w:rPr>
              <w:t>□存在项目用工管理和工资支付相关纸质资料和电子档案管理混乱，未及时归档的，扣3分。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现场查看</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22</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防范、应急处置欠薪长效机制的建立落实</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建立防范欠薪长效机制情况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3</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□存在未建立防范欠薪长效机制的，扣3分。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查阅相关资料</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23</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建立欠薪应急处置预案情况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3</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□存在未建立欠薪应急处置预案的，扣3分。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查阅相关资料</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24</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开展相关法律知识宣传情况</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□存在项目经理、劳资专管员不了解相关农民工工资支付保障制度基本要求的，扣2分；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□存在未面向农民工宣传相关法律知识的，扣1分；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本项分值扣完为止。</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与项目经理、劳资专管员、农民工座谈，询问对工资支付保障制度的了解情况</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25</w:t>
            </w:r>
          </w:p>
        </w:tc>
        <w:tc>
          <w:tcPr>
            <w:tcW w:w="945" w:type="dxa"/>
            <w:vMerge w:val="restart"/>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加分项</w:t>
            </w: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接受国家、省或市（州）保障农民工工资支付工作年度考核，未发现问题的</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6</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□接受国家年度考核，未发现问题的，加3分；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□接受省级年度考核，未发现问题的，加2分；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□接受市（州）级年度考核，未发现问题的，加1分；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本项最高加6分。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查看国家、省或市（州）保障农民工工资支付工作年度考核的资料</w:t>
            </w:r>
          </w:p>
        </w:tc>
      </w:tr>
      <w:tr w:rsidR="00AB32B8" w:rsidTr="009A5D84">
        <w:trPr>
          <w:trHeight w:val="847"/>
          <w:jc w:val="center"/>
        </w:trPr>
        <w:tc>
          <w:tcPr>
            <w:tcW w:w="539"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26</w:t>
            </w:r>
          </w:p>
        </w:tc>
        <w:tc>
          <w:tcPr>
            <w:tcW w:w="945" w:type="dxa"/>
            <w:vMerge/>
            <w:vAlign w:val="center"/>
          </w:tcPr>
          <w:p w:rsidR="00AB32B8" w:rsidRDefault="00AB32B8" w:rsidP="009A5D84">
            <w:pPr>
              <w:spacing w:line="320" w:lineRule="exact"/>
              <w:jc w:val="left"/>
              <w:rPr>
                <w:rFonts w:ascii="仿宋" w:eastAsia="仿宋" w:hAnsi="仿宋" w:cs="仿宋"/>
                <w:sz w:val="24"/>
              </w:rPr>
            </w:pPr>
          </w:p>
        </w:tc>
        <w:tc>
          <w:tcPr>
            <w:tcW w:w="3695"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保障农民工工资支付工作受到政府或有关部门表扬或肯定的</w:t>
            </w:r>
          </w:p>
        </w:tc>
        <w:tc>
          <w:tcPr>
            <w:tcW w:w="750" w:type="dxa"/>
            <w:vAlign w:val="center"/>
          </w:tcPr>
          <w:p w:rsidR="00AB32B8" w:rsidRDefault="00AB32B8" w:rsidP="009A5D84">
            <w:pPr>
              <w:spacing w:line="320" w:lineRule="exact"/>
              <w:jc w:val="center"/>
              <w:rPr>
                <w:rFonts w:ascii="仿宋" w:eastAsia="仿宋" w:hAnsi="仿宋" w:cs="仿宋"/>
                <w:sz w:val="24"/>
              </w:rPr>
            </w:pPr>
            <w:r>
              <w:rPr>
                <w:rFonts w:ascii="仿宋" w:eastAsia="仿宋" w:hAnsi="仿宋" w:cs="仿宋" w:hint="eastAsia"/>
                <w:sz w:val="24"/>
              </w:rPr>
              <w:t>4</w:t>
            </w:r>
          </w:p>
        </w:tc>
        <w:tc>
          <w:tcPr>
            <w:tcW w:w="780" w:type="dxa"/>
            <w:vAlign w:val="center"/>
          </w:tcPr>
          <w:p w:rsidR="00AB32B8" w:rsidRDefault="00AB32B8" w:rsidP="009A5D84">
            <w:pPr>
              <w:spacing w:line="320" w:lineRule="exact"/>
              <w:jc w:val="center"/>
              <w:rPr>
                <w:rFonts w:ascii="仿宋" w:eastAsia="仿宋" w:hAnsi="仿宋" w:cs="仿宋"/>
                <w:sz w:val="24"/>
              </w:rPr>
            </w:pPr>
          </w:p>
        </w:tc>
        <w:tc>
          <w:tcPr>
            <w:tcW w:w="735" w:type="dxa"/>
            <w:vAlign w:val="center"/>
          </w:tcPr>
          <w:p w:rsidR="00AB32B8" w:rsidRDefault="00AB32B8" w:rsidP="009A5D84">
            <w:pPr>
              <w:spacing w:line="320" w:lineRule="exact"/>
              <w:jc w:val="center"/>
              <w:rPr>
                <w:rFonts w:ascii="仿宋" w:eastAsia="仿宋" w:hAnsi="仿宋" w:cs="仿宋"/>
                <w:sz w:val="24"/>
              </w:rPr>
            </w:pPr>
          </w:p>
        </w:tc>
        <w:tc>
          <w:tcPr>
            <w:tcW w:w="4810"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□受到国家有关部门表扬或肯定的，加2分；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□受到省级有关部门表扬或肯定的，加1分；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□受到市（州）或县（市、区）有关部门表扬或肯定的，加0.5分；</w:t>
            </w:r>
          </w:p>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同一事件受到多部门表扬或肯定的，按单项最高分计，不重复加分，本项最高加4分。</w:t>
            </w:r>
          </w:p>
        </w:tc>
        <w:tc>
          <w:tcPr>
            <w:tcW w:w="3656" w:type="dxa"/>
            <w:vAlign w:val="center"/>
          </w:tcPr>
          <w:p w:rsidR="00AB32B8" w:rsidRDefault="00AB32B8" w:rsidP="009A5D84">
            <w:pPr>
              <w:spacing w:line="320" w:lineRule="exact"/>
              <w:jc w:val="left"/>
              <w:rPr>
                <w:rFonts w:ascii="仿宋" w:eastAsia="仿宋" w:hAnsi="仿宋" w:cs="仿宋"/>
                <w:sz w:val="24"/>
              </w:rPr>
            </w:pPr>
            <w:r>
              <w:rPr>
                <w:rFonts w:ascii="仿宋" w:eastAsia="仿宋" w:hAnsi="仿宋" w:cs="仿宋" w:hint="eastAsia"/>
                <w:sz w:val="24"/>
              </w:rPr>
              <w:t>查看相关佐证材料</w:t>
            </w:r>
          </w:p>
        </w:tc>
      </w:tr>
    </w:tbl>
    <w:p w:rsidR="00AB32B8" w:rsidRDefault="00AB32B8" w:rsidP="00AB32B8">
      <w:pPr>
        <w:jc w:val="left"/>
        <w:rPr>
          <w:rFonts w:ascii="仿宋" w:eastAsia="仿宋" w:hAnsi="仿宋" w:cs="仿宋"/>
          <w:sz w:val="24"/>
        </w:rPr>
      </w:pPr>
    </w:p>
    <w:p w:rsidR="00AB32B8" w:rsidRDefault="00AB32B8" w:rsidP="00AB32B8">
      <w:pPr>
        <w:jc w:val="left"/>
        <w:rPr>
          <w:rFonts w:ascii="仿宋" w:eastAsia="仿宋" w:hAnsi="仿宋" w:cs="仿宋"/>
          <w:sz w:val="24"/>
          <w:u w:val="single"/>
        </w:rPr>
      </w:pPr>
      <w:r>
        <w:rPr>
          <w:rFonts w:ascii="仿宋" w:eastAsia="仿宋" w:hAnsi="仿宋" w:cs="仿宋" w:hint="eastAsia"/>
          <w:sz w:val="24"/>
        </w:rPr>
        <w:t>核查人员签字：</w:t>
      </w:r>
      <w:r>
        <w:rPr>
          <w:rFonts w:ascii="仿宋" w:eastAsia="仿宋" w:hAnsi="仿宋" w:cs="仿宋" w:hint="eastAsia"/>
          <w:sz w:val="24"/>
          <w:u w:val="single"/>
        </w:rPr>
        <w:t xml:space="preserve">                                                   </w:t>
      </w:r>
      <w:r>
        <w:rPr>
          <w:rFonts w:ascii="仿宋" w:eastAsia="仿宋" w:hAnsi="仿宋" w:cs="仿宋" w:hint="eastAsia"/>
          <w:sz w:val="24"/>
        </w:rPr>
        <w:t xml:space="preserve">             核查工作负责人签字：</w:t>
      </w:r>
      <w:r>
        <w:rPr>
          <w:rFonts w:ascii="仿宋" w:eastAsia="仿宋" w:hAnsi="仿宋" w:cs="仿宋" w:hint="eastAsia"/>
          <w:sz w:val="24"/>
          <w:u w:val="single"/>
        </w:rPr>
        <w:t xml:space="preserve">                           </w:t>
      </w:r>
    </w:p>
    <w:p w:rsidR="000A36F2" w:rsidRDefault="00AB32B8" w:rsidP="00AB32B8">
      <w:r>
        <w:rPr>
          <w:rFonts w:ascii="仿宋" w:eastAsia="仿宋" w:hAnsi="仿宋" w:cs="仿宋"/>
          <w:sz w:val="24"/>
          <w:u w:val="single"/>
        </w:rPr>
        <w:br w:type="page"/>
      </w:r>
      <w:bookmarkStart w:id="0" w:name="_GoBack"/>
      <w:bookmarkEnd w:id="0"/>
    </w:p>
    <w:sectPr w:rsidR="000A36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B8" w:rsidRDefault="00AB32B8" w:rsidP="00AB32B8">
      <w:r>
        <w:separator/>
      </w:r>
    </w:p>
  </w:endnote>
  <w:endnote w:type="continuationSeparator" w:id="0">
    <w:p w:rsidR="00AB32B8" w:rsidRDefault="00AB32B8" w:rsidP="00AB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B8" w:rsidRDefault="00AB32B8">
    <w:pPr>
      <w:pStyle w:val="a4"/>
    </w:pPr>
    <w:r>
      <w:rPr>
        <w:noProof/>
      </w:rPr>
      <mc:AlternateContent>
        <mc:Choice Requires="wps">
          <w:drawing>
            <wp:anchor distT="0" distB="0" distL="114300" distR="114300" simplePos="0" relativeHeight="251659264" behindDoc="0" locked="0" layoutInCell="1" allowOverlap="1" wp14:anchorId="3C48DEB3" wp14:editId="5294412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32B8" w:rsidRDefault="00AB32B8">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B32B8" w:rsidRDefault="00AB32B8">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B8" w:rsidRDefault="00AB32B8" w:rsidP="00AB32B8">
      <w:r>
        <w:separator/>
      </w:r>
    </w:p>
  </w:footnote>
  <w:footnote w:type="continuationSeparator" w:id="0">
    <w:p w:rsidR="00AB32B8" w:rsidRDefault="00AB32B8" w:rsidP="00AB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D3"/>
    <w:rsid w:val="000916C5"/>
    <w:rsid w:val="00266C70"/>
    <w:rsid w:val="003A1901"/>
    <w:rsid w:val="00AB32B8"/>
    <w:rsid w:val="00E5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2B8"/>
    <w:rPr>
      <w:sz w:val="18"/>
      <w:szCs w:val="18"/>
    </w:rPr>
  </w:style>
  <w:style w:type="paragraph" w:styleId="a4">
    <w:name w:val="footer"/>
    <w:basedOn w:val="a"/>
    <w:link w:val="Char0"/>
    <w:unhideWhenUsed/>
    <w:qFormat/>
    <w:rsid w:val="00AB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AB32B8"/>
    <w:rPr>
      <w:sz w:val="18"/>
      <w:szCs w:val="18"/>
    </w:rPr>
  </w:style>
  <w:style w:type="table" w:styleId="a5">
    <w:name w:val="Table Grid"/>
    <w:basedOn w:val="a1"/>
    <w:qFormat/>
    <w:rsid w:val="00AB32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2B8"/>
    <w:rPr>
      <w:sz w:val="18"/>
      <w:szCs w:val="18"/>
    </w:rPr>
  </w:style>
  <w:style w:type="paragraph" w:styleId="a4">
    <w:name w:val="footer"/>
    <w:basedOn w:val="a"/>
    <w:link w:val="Char0"/>
    <w:unhideWhenUsed/>
    <w:qFormat/>
    <w:rsid w:val="00AB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AB32B8"/>
    <w:rPr>
      <w:sz w:val="18"/>
      <w:szCs w:val="18"/>
    </w:rPr>
  </w:style>
  <w:style w:type="table" w:styleId="a5">
    <w:name w:val="Table Grid"/>
    <w:basedOn w:val="a1"/>
    <w:qFormat/>
    <w:rsid w:val="00AB32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2023-09-25T02:41:00Z</dcterms:created>
  <dcterms:modified xsi:type="dcterms:W3CDTF">2023-09-25T02:41:00Z</dcterms:modified>
</cp:coreProperties>
</file>