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0ED679">
      <w:pPr>
        <w:spacing w:before="104" w:line="224" w:lineRule="auto"/>
        <w:ind w:left="159"/>
        <w:rPr>
          <w:rFonts w:hint="eastAsia" w:ascii="仿宋" w:hAnsi="仿宋" w:eastAsia="仿宋" w:cs="仿宋"/>
          <w:sz w:val="32"/>
          <w:szCs w:val="32"/>
        </w:rPr>
      </w:pPr>
      <w:r>
        <w:rPr>
          <w:rFonts w:hint="eastAsia" w:ascii="仿宋" w:hAnsi="仿宋" w:eastAsia="仿宋" w:cs="仿宋"/>
          <w:spacing w:val="25"/>
          <w:sz w:val="32"/>
          <w:szCs w:val="32"/>
        </w:rPr>
        <w:t>附件3</w:t>
      </w:r>
    </w:p>
    <w:p w14:paraId="733BED2A">
      <w:pPr>
        <w:spacing w:line="438" w:lineRule="auto"/>
        <w:rPr>
          <w:rFonts w:ascii="Arial"/>
          <w:sz w:val="21"/>
        </w:rPr>
      </w:pPr>
    </w:p>
    <w:p w14:paraId="2005C7B5">
      <w:pPr>
        <w:spacing w:line="240" w:lineRule="auto"/>
        <w:ind w:left="0"/>
        <w:jc w:val="center"/>
        <w:rPr>
          <w:rFonts w:ascii="宋体" w:hAnsi="宋体" w:eastAsia="宋体" w:cs="宋体"/>
          <w:spacing w:val="0"/>
          <w:sz w:val="48"/>
          <w:szCs w:val="48"/>
        </w:rPr>
      </w:pPr>
      <w:r>
        <w:rPr>
          <w:rFonts w:ascii="宋体" w:hAnsi="宋体" w:eastAsia="宋体" w:cs="宋体"/>
          <w:b/>
          <w:bCs/>
          <w:spacing w:val="0"/>
          <w:sz w:val="48"/>
          <w:szCs w:val="48"/>
        </w:rPr>
        <w:t>专项职业能力考核规范编写要求</w:t>
      </w:r>
    </w:p>
    <w:p w14:paraId="41F99242">
      <w:pPr>
        <w:spacing w:line="293" w:lineRule="auto"/>
        <w:rPr>
          <w:rFonts w:ascii="Arial"/>
          <w:sz w:val="21"/>
        </w:rPr>
      </w:pPr>
    </w:p>
    <w:p w14:paraId="212814DD">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一、专项职业能力的确立原则</w:t>
      </w:r>
    </w:p>
    <w:p w14:paraId="103BDD21">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楷体" w:hAnsi="楷体" w:eastAsia="楷体" w:cs="楷体"/>
          <w:sz w:val="32"/>
          <w:szCs w:val="32"/>
        </w:rPr>
      </w:pPr>
      <w:r>
        <w:rPr>
          <w:rFonts w:hint="eastAsia" w:ascii="楷体" w:hAnsi="楷体" w:eastAsia="楷体" w:cs="楷体"/>
          <w:sz w:val="32"/>
          <w:szCs w:val="32"/>
        </w:rPr>
        <w:t>(一)可就业的最小技能单元原则</w:t>
      </w:r>
    </w:p>
    <w:p w14:paraId="2F82D040">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仿宋" w:hAnsi="仿宋" w:eastAsia="仿宋" w:cs="仿宋"/>
          <w:sz w:val="32"/>
          <w:szCs w:val="32"/>
        </w:rPr>
      </w:pPr>
      <w:r>
        <w:rPr>
          <w:rFonts w:hint="eastAsia" w:ascii="仿宋" w:hAnsi="仿宋" w:eastAsia="仿宋" w:cs="仿宋"/>
          <w:sz w:val="32"/>
          <w:szCs w:val="32"/>
        </w:rPr>
        <w:t>每个专项职业能力是一个可就业的最小技能单元。“可就业”是指社会上有一部分相对稳定的人员凭借此项能力就业谋生；“最小”是指它的适用范围小于“职业”,作为一项就业技能，它不可再拆分，不划分等级。</w:t>
      </w:r>
    </w:p>
    <w:p w14:paraId="2B211CCD">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楷体" w:hAnsi="楷体" w:eastAsia="楷体" w:cs="楷体"/>
          <w:sz w:val="32"/>
          <w:szCs w:val="32"/>
        </w:rPr>
      </w:pPr>
      <w:r>
        <w:rPr>
          <w:rFonts w:hint="eastAsia" w:ascii="楷体" w:hAnsi="楷体" w:eastAsia="楷体" w:cs="楷体"/>
          <w:sz w:val="32"/>
          <w:szCs w:val="32"/>
        </w:rPr>
        <w:t>（二）技术性原则</w:t>
      </w:r>
    </w:p>
    <w:p w14:paraId="5A3303CA">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仿宋" w:hAnsi="仿宋" w:eastAsia="仿宋" w:cs="仿宋"/>
          <w:sz w:val="32"/>
          <w:szCs w:val="32"/>
        </w:rPr>
      </w:pPr>
      <w:r>
        <w:rPr>
          <w:rFonts w:hint="eastAsia" w:ascii="仿宋" w:hAnsi="仿宋" w:eastAsia="仿宋" w:cs="仿宋"/>
          <w:sz w:val="32"/>
          <w:szCs w:val="32"/>
        </w:rPr>
        <w:t>技术性是指专项职业能力具有一定的技术含量。掌握这项能力需要经过师傅的指导或相应的实操培训。简单体力劳动不能作为专项职业能力。</w:t>
      </w:r>
    </w:p>
    <w:p w14:paraId="2AFEF6CE">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楷体" w:hAnsi="楷体" w:eastAsia="楷体" w:cs="楷体"/>
          <w:sz w:val="32"/>
          <w:szCs w:val="32"/>
        </w:rPr>
      </w:pPr>
      <w:r>
        <w:rPr>
          <w:rFonts w:hint="eastAsia" w:ascii="楷体" w:hAnsi="楷体" w:eastAsia="楷体" w:cs="楷体"/>
          <w:sz w:val="32"/>
          <w:szCs w:val="32"/>
        </w:rPr>
        <w:t>（三）与国家职业衔接的原则</w:t>
      </w:r>
    </w:p>
    <w:p w14:paraId="24DA6016">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仿宋" w:hAnsi="仿宋" w:eastAsia="仿宋" w:cs="仿宋"/>
          <w:sz w:val="32"/>
          <w:szCs w:val="32"/>
        </w:rPr>
      </w:pPr>
      <w:r>
        <w:rPr>
          <w:rFonts w:hint="eastAsia" w:ascii="仿宋" w:hAnsi="仿宋" w:eastAsia="仿宋" w:cs="仿宋"/>
          <w:sz w:val="32"/>
          <w:szCs w:val="32"/>
        </w:rPr>
        <w:t>凡能与国家职业标准中的模块直接对应、且符合最小技能单元原则的专项职业能力，其考核规范应参照初级工相应模块编写。</w:t>
      </w:r>
    </w:p>
    <w:p w14:paraId="4E14224C">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二、名称</w:t>
      </w:r>
    </w:p>
    <w:p w14:paraId="05B892FD">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仿宋" w:hAnsi="仿宋" w:eastAsia="仿宋" w:cs="仿宋"/>
          <w:sz w:val="32"/>
          <w:szCs w:val="32"/>
        </w:rPr>
      </w:pPr>
      <w:r>
        <w:rPr>
          <w:rFonts w:hint="eastAsia" w:ascii="仿宋" w:hAnsi="仿宋" w:eastAsia="仿宋" w:cs="仿宋"/>
          <w:sz w:val="32"/>
          <w:szCs w:val="32"/>
        </w:rPr>
        <w:t>一般用“具体产品或服务的名称+动词”来进行表述，如“拉面制作”“社区绿化”等。专项职业能力的名称不能与工种或职业名称雷同。因此，专项职业能力名称后不能有“工”“员”或“师”等表示职业或工种名称的词。</w:t>
      </w:r>
    </w:p>
    <w:p w14:paraId="41CA8DE9">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rPr>
        <w:t>三、定义</w:t>
      </w:r>
    </w:p>
    <w:p w14:paraId="4F5C4A62">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仿宋" w:hAnsi="仿宋" w:eastAsia="仿宋" w:cs="仿宋"/>
          <w:sz w:val="32"/>
          <w:szCs w:val="32"/>
        </w:rPr>
      </w:pPr>
      <w:r>
        <w:rPr>
          <w:rFonts w:hint="eastAsia" w:ascii="仿宋" w:hAnsi="仿宋" w:eastAsia="仿宋" w:cs="仿宋"/>
          <w:sz w:val="32"/>
          <w:szCs w:val="32"/>
        </w:rPr>
        <w:t>一般应按照“运用</w:t>
      </w:r>
      <w:r>
        <w:rPr>
          <w:rFonts w:hint="eastAsia" w:ascii="仿宋" w:hAnsi="仿宋" w:eastAsia="仿宋" w:cs="仿宋"/>
          <w:spacing w:val="-20"/>
          <w:sz w:val="32"/>
          <w:szCs w:val="32"/>
        </w:rPr>
        <w:t>......</w:t>
      </w:r>
      <w:r>
        <w:rPr>
          <w:rFonts w:hint="eastAsia" w:ascii="仿宋" w:hAnsi="仿宋" w:eastAsia="仿宋" w:cs="仿宋"/>
          <w:sz w:val="32"/>
          <w:szCs w:val="32"/>
        </w:rPr>
        <w:t>工具设备或材料，在</w:t>
      </w:r>
      <w:r>
        <w:rPr>
          <w:rFonts w:hint="eastAsia" w:ascii="仿宋" w:hAnsi="仿宋" w:eastAsia="仿宋" w:cs="仿宋"/>
          <w:spacing w:val="-20"/>
          <w:sz w:val="32"/>
          <w:szCs w:val="32"/>
        </w:rPr>
        <w:t>......</w:t>
      </w:r>
      <w:r>
        <w:rPr>
          <w:rFonts w:hint="eastAsia" w:ascii="仿宋" w:hAnsi="仿宋" w:eastAsia="仿宋" w:cs="仿宋"/>
          <w:sz w:val="32"/>
          <w:szCs w:val="32"/>
        </w:rPr>
        <w:t>场所、环境或条件下进行</w:t>
      </w:r>
      <w:r>
        <w:rPr>
          <w:rFonts w:hint="eastAsia" w:ascii="仿宋" w:hAnsi="仿宋" w:eastAsia="仿宋" w:cs="仿宋"/>
          <w:spacing w:val="-20"/>
          <w:sz w:val="32"/>
          <w:szCs w:val="32"/>
        </w:rPr>
        <w:t>......</w:t>
      </w:r>
      <w:r>
        <w:rPr>
          <w:rFonts w:hint="eastAsia" w:ascii="仿宋" w:hAnsi="仿宋" w:eastAsia="仿宋" w:cs="仿宋"/>
          <w:sz w:val="32"/>
          <w:szCs w:val="32"/>
        </w:rPr>
        <w:t>制作或提供</w:t>
      </w:r>
      <w:r>
        <w:rPr>
          <w:rFonts w:hint="eastAsia" w:ascii="仿宋" w:hAnsi="仿宋" w:eastAsia="仿宋" w:cs="仿宋"/>
          <w:spacing w:val="-20"/>
          <w:sz w:val="32"/>
          <w:szCs w:val="32"/>
        </w:rPr>
        <w:t>......</w:t>
      </w:r>
      <w:r>
        <w:rPr>
          <w:rFonts w:hint="eastAsia" w:ascii="仿宋" w:hAnsi="仿宋" w:eastAsia="仿宋" w:cs="仿宋"/>
          <w:sz w:val="32"/>
          <w:szCs w:val="32"/>
        </w:rPr>
        <w:t>服务的能力”的格式来定义专项职业能力。如“</w:t>
      </w:r>
      <w:bookmarkStart w:id="0" w:name="_GoBack"/>
      <w:bookmarkEnd w:id="0"/>
      <w:r>
        <w:rPr>
          <w:rFonts w:hint="eastAsia" w:ascii="仿宋" w:hAnsi="仿宋" w:eastAsia="仿宋" w:cs="仿宋"/>
          <w:sz w:val="32"/>
          <w:szCs w:val="32"/>
        </w:rPr>
        <w:t>服装缝纫——利用服装缝纫设备和服装材料，将各款服装裁片缝合成服装的能力”。</w:t>
      </w:r>
    </w:p>
    <w:p w14:paraId="0C793EBA">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四、适用对象</w:t>
      </w:r>
    </w:p>
    <w:p w14:paraId="0D30D1BD">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仿宋" w:hAnsi="仿宋" w:eastAsia="仿宋" w:cs="仿宋"/>
          <w:sz w:val="32"/>
          <w:szCs w:val="32"/>
        </w:rPr>
      </w:pPr>
      <w:r>
        <w:rPr>
          <w:rFonts w:hint="eastAsia" w:ascii="仿宋" w:hAnsi="仿宋" w:eastAsia="仿宋" w:cs="仿宋"/>
          <w:sz w:val="32"/>
          <w:szCs w:val="32"/>
        </w:rPr>
        <w:t>运用或准备运用本项能力求职、就业的人员。</w:t>
      </w:r>
    </w:p>
    <w:p w14:paraId="5EB5DCC0">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黑体" w:hAnsi="黑体" w:eastAsia="黑体" w:cs="黑体"/>
          <w:sz w:val="21"/>
        </w:rPr>
      </w:pPr>
      <w:r>
        <w:rPr>
          <w:rFonts w:hint="eastAsia" w:ascii="黑体" w:hAnsi="黑体" w:eastAsia="黑体" w:cs="黑体"/>
          <w:sz w:val="32"/>
          <w:szCs w:val="32"/>
        </w:rPr>
        <w:t>五、考核内容</w:t>
      </w:r>
    </w:p>
    <w:p w14:paraId="34AD5CDA">
      <w:pPr>
        <w:spacing w:line="293" w:lineRule="auto"/>
        <w:rPr>
          <w:rFonts w:ascii="Arial"/>
          <w:sz w:val="21"/>
        </w:rPr>
      </w:pPr>
    </w:p>
    <w:p w14:paraId="1BA389C3">
      <w:pPr>
        <w:spacing w:line="76" w:lineRule="auto"/>
        <w:rPr>
          <w:rFonts w:ascii="Arial"/>
          <w:spacing w:val="0"/>
          <w:position w:val="0"/>
          <w:sz w:val="2"/>
        </w:rPr>
      </w:pPr>
    </w:p>
    <w:tbl>
      <w:tblPr>
        <w:tblStyle w:val="8"/>
        <w:tblW w:w="8779" w:type="dxa"/>
        <w:tblInd w:w="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92"/>
        <w:gridCol w:w="2207"/>
        <w:gridCol w:w="2087"/>
        <w:gridCol w:w="2093"/>
      </w:tblGrid>
      <w:tr w14:paraId="41C918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8779" w:type="dxa"/>
            <w:gridSpan w:val="4"/>
            <w:vAlign w:val="top"/>
          </w:tcPr>
          <w:p w14:paraId="49D306C1">
            <w:pPr>
              <w:pStyle w:val="7"/>
              <w:spacing w:before="206" w:line="220" w:lineRule="auto"/>
              <w:ind w:left="14"/>
              <w:rPr>
                <w:spacing w:val="0"/>
                <w:position w:val="0"/>
                <w:sz w:val="26"/>
                <w:szCs w:val="26"/>
              </w:rPr>
            </w:pPr>
            <w:r>
              <w:rPr>
                <w:spacing w:val="0"/>
                <w:position w:val="0"/>
                <w:sz w:val="26"/>
                <w:szCs w:val="26"/>
              </w:rPr>
              <w:t>项目名称：                 职业领域：</w:t>
            </w:r>
          </w:p>
        </w:tc>
      </w:tr>
      <w:tr w14:paraId="7F5A5E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2392" w:type="dxa"/>
            <w:vAlign w:val="top"/>
          </w:tcPr>
          <w:p w14:paraId="1083C001">
            <w:pPr>
              <w:pStyle w:val="7"/>
              <w:spacing w:before="191" w:line="219" w:lineRule="auto"/>
              <w:ind w:left="665"/>
              <w:rPr>
                <w:spacing w:val="0"/>
                <w:position w:val="0"/>
                <w:sz w:val="26"/>
                <w:szCs w:val="26"/>
              </w:rPr>
            </w:pPr>
            <w:r>
              <w:rPr>
                <w:spacing w:val="0"/>
                <w:position w:val="0"/>
                <w:sz w:val="26"/>
                <w:szCs w:val="26"/>
              </w:rPr>
              <w:t>工作任务</w:t>
            </w:r>
          </w:p>
        </w:tc>
        <w:tc>
          <w:tcPr>
            <w:tcW w:w="2207" w:type="dxa"/>
            <w:vAlign w:val="top"/>
          </w:tcPr>
          <w:p w14:paraId="5E6C7539">
            <w:pPr>
              <w:pStyle w:val="7"/>
              <w:spacing w:before="191" w:line="219" w:lineRule="auto"/>
              <w:ind w:left="572"/>
              <w:rPr>
                <w:spacing w:val="0"/>
                <w:position w:val="0"/>
                <w:sz w:val="26"/>
                <w:szCs w:val="26"/>
              </w:rPr>
            </w:pPr>
            <w:r>
              <w:rPr>
                <w:spacing w:val="0"/>
                <w:position w:val="0"/>
                <w:sz w:val="26"/>
                <w:szCs w:val="26"/>
              </w:rPr>
              <w:t>操作规范</w:t>
            </w:r>
          </w:p>
        </w:tc>
        <w:tc>
          <w:tcPr>
            <w:tcW w:w="2087" w:type="dxa"/>
            <w:vAlign w:val="top"/>
          </w:tcPr>
          <w:p w14:paraId="02464CEF">
            <w:pPr>
              <w:pStyle w:val="7"/>
              <w:spacing w:before="202" w:line="220" w:lineRule="auto"/>
              <w:ind w:left="515"/>
              <w:rPr>
                <w:spacing w:val="0"/>
                <w:position w:val="0"/>
                <w:sz w:val="26"/>
                <w:szCs w:val="26"/>
              </w:rPr>
            </w:pPr>
            <w:r>
              <w:rPr>
                <w:spacing w:val="0"/>
                <w:position w:val="0"/>
                <w:sz w:val="26"/>
                <w:szCs w:val="26"/>
              </w:rPr>
              <w:t>相关知识</w:t>
            </w:r>
          </w:p>
        </w:tc>
        <w:tc>
          <w:tcPr>
            <w:tcW w:w="2093" w:type="dxa"/>
            <w:vAlign w:val="top"/>
          </w:tcPr>
          <w:p w14:paraId="1BB916EA">
            <w:pPr>
              <w:pStyle w:val="7"/>
              <w:spacing w:before="221" w:line="219" w:lineRule="auto"/>
              <w:ind w:left="518"/>
              <w:rPr>
                <w:spacing w:val="0"/>
                <w:position w:val="0"/>
                <w:sz w:val="26"/>
                <w:szCs w:val="26"/>
              </w:rPr>
            </w:pPr>
            <w:r>
              <w:rPr>
                <w:spacing w:val="0"/>
                <w:position w:val="0"/>
                <w:sz w:val="26"/>
                <w:szCs w:val="26"/>
              </w:rPr>
              <w:t>考核比重</w:t>
            </w:r>
          </w:p>
        </w:tc>
      </w:tr>
      <w:tr w14:paraId="17F40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7" w:hRule="atLeast"/>
        </w:trPr>
        <w:tc>
          <w:tcPr>
            <w:tcW w:w="2392" w:type="dxa"/>
            <w:vAlign w:val="top"/>
          </w:tcPr>
          <w:p w14:paraId="5BA171B5">
            <w:pPr>
              <w:spacing w:line="351" w:lineRule="auto"/>
              <w:rPr>
                <w:rFonts w:ascii="Arial"/>
                <w:spacing w:val="0"/>
                <w:position w:val="0"/>
                <w:sz w:val="21"/>
              </w:rPr>
            </w:pPr>
          </w:p>
          <w:p w14:paraId="6E1F45B9">
            <w:pPr>
              <w:pStyle w:val="7"/>
              <w:spacing w:before="84" w:line="222" w:lineRule="auto"/>
              <w:ind w:left="864"/>
              <w:rPr>
                <w:spacing w:val="0"/>
                <w:position w:val="0"/>
                <w:sz w:val="26"/>
                <w:szCs w:val="26"/>
              </w:rPr>
            </w:pPr>
            <w:r>
              <w:rPr>
                <w:spacing w:val="0"/>
                <w:position w:val="0"/>
                <w:sz w:val="26"/>
                <w:szCs w:val="26"/>
              </w:rPr>
              <w:t>(一)</w:t>
            </w:r>
          </w:p>
        </w:tc>
        <w:tc>
          <w:tcPr>
            <w:tcW w:w="2207" w:type="dxa"/>
            <w:vAlign w:val="top"/>
          </w:tcPr>
          <w:p w14:paraId="7D0467E5">
            <w:pPr>
              <w:pStyle w:val="7"/>
              <w:spacing w:before="269" w:line="241" w:lineRule="auto"/>
              <w:ind w:left="772"/>
              <w:rPr>
                <w:rFonts w:hint="default" w:eastAsia="宋体"/>
                <w:spacing w:val="-11"/>
                <w:position w:val="0"/>
                <w:sz w:val="26"/>
                <w:szCs w:val="26"/>
                <w:lang w:val="en-US" w:eastAsia="zh-CN"/>
              </w:rPr>
            </w:pPr>
            <w:r>
              <w:rPr>
                <w:spacing w:val="0"/>
                <w:position w:val="0"/>
                <w:sz w:val="26"/>
                <w:szCs w:val="26"/>
              </w:rPr>
              <w:t>1</w:t>
            </w:r>
            <w:r>
              <w:rPr>
                <w:rFonts w:hint="eastAsia"/>
                <w:spacing w:val="-34"/>
                <w:position w:val="0"/>
                <w:sz w:val="26"/>
                <w:szCs w:val="26"/>
                <w:lang w:val="en-US" w:eastAsia="zh-CN"/>
              </w:rPr>
              <w:t>.......</w:t>
            </w:r>
          </w:p>
          <w:p w14:paraId="5DE86EC0">
            <w:pPr>
              <w:pStyle w:val="7"/>
              <w:spacing w:before="210" w:line="197" w:lineRule="auto"/>
              <w:ind w:left="772"/>
              <w:rPr>
                <w:spacing w:val="0"/>
                <w:position w:val="0"/>
                <w:sz w:val="26"/>
                <w:szCs w:val="26"/>
              </w:rPr>
            </w:pPr>
            <w:r>
              <w:rPr>
                <w:spacing w:val="0"/>
                <w:position w:val="0"/>
                <w:sz w:val="26"/>
                <w:szCs w:val="26"/>
              </w:rPr>
              <w:t>2</w:t>
            </w:r>
            <w:r>
              <w:rPr>
                <w:rFonts w:hint="eastAsia"/>
                <w:spacing w:val="-34"/>
                <w:position w:val="0"/>
                <w:sz w:val="26"/>
                <w:szCs w:val="26"/>
                <w:lang w:val="en-US" w:eastAsia="zh-CN"/>
              </w:rPr>
              <w:t>.......</w:t>
            </w:r>
          </w:p>
        </w:tc>
        <w:tc>
          <w:tcPr>
            <w:tcW w:w="2087" w:type="dxa"/>
            <w:vAlign w:val="top"/>
          </w:tcPr>
          <w:p w14:paraId="61C6095B">
            <w:pPr>
              <w:pStyle w:val="7"/>
              <w:spacing w:before="269" w:line="241" w:lineRule="auto"/>
              <w:ind w:left="772"/>
              <w:rPr>
                <w:spacing w:val="0"/>
                <w:position w:val="0"/>
                <w:sz w:val="26"/>
                <w:szCs w:val="26"/>
              </w:rPr>
            </w:pPr>
            <w:r>
              <w:rPr>
                <w:spacing w:val="0"/>
                <w:position w:val="0"/>
                <w:sz w:val="26"/>
                <w:szCs w:val="26"/>
              </w:rPr>
              <w:t>1</w:t>
            </w:r>
            <w:r>
              <w:rPr>
                <w:rFonts w:hint="eastAsia"/>
                <w:spacing w:val="-34"/>
                <w:position w:val="0"/>
                <w:sz w:val="26"/>
                <w:szCs w:val="26"/>
                <w:lang w:val="en-US" w:eastAsia="zh-CN"/>
              </w:rPr>
              <w:t>.......</w:t>
            </w:r>
          </w:p>
          <w:p w14:paraId="4D71322B">
            <w:pPr>
              <w:pStyle w:val="7"/>
              <w:spacing w:before="210" w:line="197" w:lineRule="auto"/>
              <w:ind w:left="772" w:leftChars="0"/>
              <w:rPr>
                <w:spacing w:val="0"/>
                <w:position w:val="0"/>
                <w:sz w:val="26"/>
                <w:szCs w:val="26"/>
              </w:rPr>
            </w:pPr>
            <w:r>
              <w:rPr>
                <w:spacing w:val="0"/>
                <w:position w:val="0"/>
                <w:sz w:val="26"/>
                <w:szCs w:val="26"/>
              </w:rPr>
              <w:t>2</w:t>
            </w:r>
            <w:r>
              <w:rPr>
                <w:rFonts w:hint="eastAsia"/>
                <w:spacing w:val="-34"/>
                <w:position w:val="0"/>
                <w:sz w:val="26"/>
                <w:szCs w:val="26"/>
                <w:lang w:val="en-US" w:eastAsia="zh-CN"/>
              </w:rPr>
              <w:t>.......</w:t>
            </w:r>
          </w:p>
        </w:tc>
        <w:tc>
          <w:tcPr>
            <w:tcW w:w="2093" w:type="dxa"/>
            <w:vAlign w:val="top"/>
          </w:tcPr>
          <w:p w14:paraId="45603321">
            <w:pPr>
              <w:spacing w:line="461" w:lineRule="auto"/>
              <w:rPr>
                <w:rFonts w:ascii="Arial"/>
                <w:spacing w:val="0"/>
                <w:position w:val="0"/>
                <w:sz w:val="21"/>
              </w:rPr>
            </w:pPr>
          </w:p>
          <w:p w14:paraId="38795A28">
            <w:pPr>
              <w:pStyle w:val="7"/>
              <w:spacing w:before="85"/>
              <w:ind w:left="978"/>
              <w:rPr>
                <w:spacing w:val="0"/>
                <w:position w:val="0"/>
                <w:sz w:val="26"/>
                <w:szCs w:val="26"/>
              </w:rPr>
            </w:pPr>
            <w:r>
              <w:rPr>
                <w:spacing w:val="0"/>
                <w:position w:val="0"/>
                <w:sz w:val="26"/>
                <w:szCs w:val="26"/>
              </w:rPr>
              <w:t>%</w:t>
            </w:r>
          </w:p>
        </w:tc>
      </w:tr>
      <w:tr w14:paraId="21A3E1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7" w:hRule="atLeast"/>
        </w:trPr>
        <w:tc>
          <w:tcPr>
            <w:tcW w:w="2392" w:type="dxa"/>
            <w:vAlign w:val="top"/>
          </w:tcPr>
          <w:p w14:paraId="674EBAF6">
            <w:pPr>
              <w:spacing w:line="354" w:lineRule="auto"/>
              <w:rPr>
                <w:rFonts w:ascii="Arial"/>
                <w:spacing w:val="0"/>
                <w:position w:val="0"/>
                <w:sz w:val="21"/>
              </w:rPr>
            </w:pPr>
          </w:p>
          <w:p w14:paraId="54F8FCB4">
            <w:pPr>
              <w:pStyle w:val="7"/>
              <w:spacing w:before="84" w:line="222" w:lineRule="auto"/>
              <w:ind w:left="924"/>
              <w:rPr>
                <w:spacing w:val="0"/>
                <w:position w:val="0"/>
                <w:sz w:val="26"/>
                <w:szCs w:val="26"/>
              </w:rPr>
            </w:pPr>
            <w:r>
              <w:rPr>
                <w:spacing w:val="0"/>
                <w:position w:val="0"/>
                <w:sz w:val="26"/>
                <w:szCs w:val="26"/>
              </w:rPr>
              <w:t>(二)</w:t>
            </w:r>
          </w:p>
        </w:tc>
        <w:tc>
          <w:tcPr>
            <w:tcW w:w="2207" w:type="dxa"/>
            <w:vAlign w:val="top"/>
          </w:tcPr>
          <w:p w14:paraId="34A5FF00">
            <w:pPr>
              <w:pStyle w:val="7"/>
              <w:spacing w:before="272" w:line="241" w:lineRule="auto"/>
              <w:ind w:left="772"/>
              <w:rPr>
                <w:spacing w:val="0"/>
                <w:position w:val="0"/>
                <w:sz w:val="26"/>
                <w:szCs w:val="26"/>
              </w:rPr>
            </w:pPr>
            <w:r>
              <w:rPr>
                <w:spacing w:val="0"/>
                <w:position w:val="0"/>
                <w:sz w:val="26"/>
                <w:szCs w:val="26"/>
              </w:rPr>
              <w:t>1</w:t>
            </w:r>
            <w:r>
              <w:rPr>
                <w:rFonts w:hint="eastAsia"/>
                <w:spacing w:val="-34"/>
                <w:position w:val="0"/>
                <w:sz w:val="26"/>
                <w:szCs w:val="26"/>
                <w:lang w:val="en-US" w:eastAsia="zh-CN"/>
              </w:rPr>
              <w:t>.......</w:t>
            </w:r>
          </w:p>
          <w:p w14:paraId="4E5DE412">
            <w:pPr>
              <w:pStyle w:val="7"/>
              <w:spacing w:before="200" w:line="202" w:lineRule="auto"/>
              <w:ind w:left="772"/>
              <w:rPr>
                <w:spacing w:val="0"/>
                <w:position w:val="0"/>
                <w:sz w:val="26"/>
                <w:szCs w:val="26"/>
              </w:rPr>
            </w:pPr>
            <w:r>
              <w:rPr>
                <w:spacing w:val="0"/>
                <w:position w:val="0"/>
                <w:sz w:val="26"/>
                <w:szCs w:val="26"/>
              </w:rPr>
              <w:t>2</w:t>
            </w:r>
            <w:r>
              <w:rPr>
                <w:rFonts w:hint="eastAsia"/>
                <w:spacing w:val="-34"/>
                <w:position w:val="0"/>
                <w:sz w:val="26"/>
                <w:szCs w:val="26"/>
                <w:lang w:val="en-US" w:eastAsia="zh-CN"/>
              </w:rPr>
              <w:t>.......</w:t>
            </w:r>
          </w:p>
        </w:tc>
        <w:tc>
          <w:tcPr>
            <w:tcW w:w="2087" w:type="dxa"/>
            <w:vAlign w:val="top"/>
          </w:tcPr>
          <w:p w14:paraId="3183C1B7">
            <w:pPr>
              <w:pStyle w:val="7"/>
              <w:spacing w:before="272" w:line="241" w:lineRule="auto"/>
              <w:ind w:left="772"/>
              <w:rPr>
                <w:spacing w:val="0"/>
                <w:position w:val="0"/>
                <w:sz w:val="26"/>
                <w:szCs w:val="26"/>
              </w:rPr>
            </w:pPr>
            <w:r>
              <w:rPr>
                <w:spacing w:val="0"/>
                <w:position w:val="0"/>
                <w:sz w:val="26"/>
                <w:szCs w:val="26"/>
              </w:rPr>
              <w:t>1</w:t>
            </w:r>
            <w:r>
              <w:rPr>
                <w:rFonts w:hint="eastAsia"/>
                <w:spacing w:val="-34"/>
                <w:position w:val="0"/>
                <w:sz w:val="26"/>
                <w:szCs w:val="26"/>
                <w:lang w:val="en-US" w:eastAsia="zh-CN"/>
              </w:rPr>
              <w:t>.......</w:t>
            </w:r>
          </w:p>
          <w:p w14:paraId="08BAC293">
            <w:pPr>
              <w:pStyle w:val="7"/>
              <w:spacing w:before="200" w:line="202" w:lineRule="auto"/>
              <w:ind w:left="772" w:leftChars="0"/>
              <w:rPr>
                <w:spacing w:val="0"/>
                <w:position w:val="0"/>
                <w:sz w:val="26"/>
                <w:szCs w:val="26"/>
              </w:rPr>
            </w:pPr>
            <w:r>
              <w:rPr>
                <w:spacing w:val="0"/>
                <w:position w:val="0"/>
                <w:sz w:val="26"/>
                <w:szCs w:val="26"/>
              </w:rPr>
              <w:t>2</w:t>
            </w:r>
            <w:r>
              <w:rPr>
                <w:rFonts w:hint="eastAsia"/>
                <w:spacing w:val="-34"/>
                <w:position w:val="0"/>
                <w:sz w:val="26"/>
                <w:szCs w:val="26"/>
                <w:lang w:val="en-US" w:eastAsia="zh-CN"/>
              </w:rPr>
              <w:t>.......</w:t>
            </w:r>
          </w:p>
        </w:tc>
        <w:tc>
          <w:tcPr>
            <w:tcW w:w="2093" w:type="dxa"/>
            <w:vAlign w:val="top"/>
          </w:tcPr>
          <w:p w14:paraId="709F0C54">
            <w:pPr>
              <w:spacing w:line="444" w:lineRule="auto"/>
              <w:rPr>
                <w:rFonts w:ascii="Arial"/>
                <w:spacing w:val="0"/>
                <w:position w:val="0"/>
                <w:sz w:val="21"/>
              </w:rPr>
            </w:pPr>
          </w:p>
          <w:p w14:paraId="28760573">
            <w:pPr>
              <w:pStyle w:val="7"/>
              <w:spacing w:before="85"/>
              <w:ind w:left="978"/>
              <w:rPr>
                <w:spacing w:val="0"/>
                <w:position w:val="0"/>
                <w:sz w:val="26"/>
                <w:szCs w:val="26"/>
              </w:rPr>
            </w:pPr>
            <w:r>
              <w:rPr>
                <w:spacing w:val="0"/>
                <w:position w:val="0"/>
                <w:sz w:val="26"/>
                <w:szCs w:val="26"/>
              </w:rPr>
              <w:t>%</w:t>
            </w:r>
          </w:p>
        </w:tc>
      </w:tr>
      <w:tr w14:paraId="4568F8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2392" w:type="dxa"/>
            <w:vAlign w:val="bottom"/>
          </w:tcPr>
          <w:p w14:paraId="13B6110D">
            <w:pPr>
              <w:pStyle w:val="7"/>
              <w:spacing w:line="240" w:lineRule="auto"/>
              <w:ind w:left="0"/>
              <w:jc w:val="center"/>
              <w:rPr>
                <w:rFonts w:hint="default" w:eastAsia="宋体"/>
                <w:spacing w:val="0"/>
                <w:position w:val="0"/>
                <w:sz w:val="26"/>
                <w:szCs w:val="26"/>
                <w:lang w:val="en-US" w:eastAsia="zh-CN"/>
              </w:rPr>
            </w:pPr>
            <w:r>
              <w:rPr>
                <w:rFonts w:hint="eastAsia"/>
                <w:spacing w:val="-34"/>
                <w:position w:val="0"/>
                <w:sz w:val="26"/>
                <w:szCs w:val="26"/>
                <w:lang w:val="en-US" w:eastAsia="zh-CN"/>
              </w:rPr>
              <w:t>......</w:t>
            </w:r>
          </w:p>
        </w:tc>
        <w:tc>
          <w:tcPr>
            <w:tcW w:w="2207" w:type="dxa"/>
            <w:vAlign w:val="top"/>
          </w:tcPr>
          <w:p w14:paraId="3893312D">
            <w:pPr>
              <w:rPr>
                <w:rFonts w:ascii="Arial"/>
                <w:spacing w:val="0"/>
                <w:position w:val="0"/>
                <w:sz w:val="21"/>
              </w:rPr>
            </w:pPr>
          </w:p>
        </w:tc>
        <w:tc>
          <w:tcPr>
            <w:tcW w:w="2087" w:type="dxa"/>
            <w:vAlign w:val="top"/>
          </w:tcPr>
          <w:p w14:paraId="5E6207E4">
            <w:pPr>
              <w:rPr>
                <w:rFonts w:ascii="Arial"/>
                <w:spacing w:val="0"/>
                <w:position w:val="0"/>
                <w:sz w:val="21"/>
              </w:rPr>
            </w:pPr>
          </w:p>
        </w:tc>
        <w:tc>
          <w:tcPr>
            <w:tcW w:w="2093" w:type="dxa"/>
            <w:vAlign w:val="top"/>
          </w:tcPr>
          <w:p w14:paraId="6E1B0F07">
            <w:pPr>
              <w:rPr>
                <w:rFonts w:ascii="Arial"/>
                <w:spacing w:val="0"/>
                <w:position w:val="0"/>
                <w:sz w:val="21"/>
              </w:rPr>
            </w:pPr>
          </w:p>
        </w:tc>
      </w:tr>
    </w:tbl>
    <w:p w14:paraId="0CF00706">
      <w:pPr>
        <w:pStyle w:val="2"/>
        <w:keepNext w:val="0"/>
        <w:keepLines w:val="0"/>
        <w:pageBreakBefore w:val="0"/>
        <w:widowControl/>
        <w:kinsoku w:val="0"/>
        <w:wordWrap/>
        <w:overflowPunct/>
        <w:topLinePunct w:val="0"/>
        <w:autoSpaceDE w:val="0"/>
        <w:autoSpaceDN w:val="0"/>
        <w:bidi w:val="0"/>
        <w:adjustRightInd w:val="0"/>
        <w:snapToGrid w:val="0"/>
        <w:spacing w:line="240" w:lineRule="auto"/>
        <w:ind w:firstLine="0"/>
        <w:jc w:val="both"/>
        <w:textAlignment w:val="baseline"/>
        <w:rPr>
          <w:sz w:val="32"/>
          <w:szCs w:val="32"/>
        </w:rPr>
      </w:pPr>
    </w:p>
    <w:p w14:paraId="09A1EB93">
      <w:pPr>
        <w:pStyle w:val="2"/>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sz w:val="32"/>
          <w:szCs w:val="32"/>
        </w:rPr>
      </w:pPr>
      <w:r>
        <w:rPr>
          <w:rFonts w:hint="eastAsia"/>
          <w:sz w:val="32"/>
          <w:szCs w:val="32"/>
        </w:rPr>
        <w:t>职业领域是指专项职业能力所对应的职业(《中华人民共和国职业分类大典》中的细类)。</w:t>
      </w:r>
    </w:p>
    <w:p w14:paraId="49931A68">
      <w:pPr>
        <w:pStyle w:val="2"/>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sz w:val="32"/>
          <w:szCs w:val="32"/>
        </w:rPr>
      </w:pPr>
      <w:r>
        <w:rPr>
          <w:rFonts w:hint="eastAsia"/>
          <w:sz w:val="32"/>
          <w:szCs w:val="32"/>
        </w:rPr>
        <w:t>工作任务是指完成该专项职业能力范围内的全部工作必须经过的主要步骤或程序。需按先后顺序列出。一般情况下，每个专项职业能力下应列出3项以上的工作任务。</w:t>
      </w:r>
    </w:p>
    <w:p w14:paraId="655D2B14">
      <w:pPr>
        <w:pStyle w:val="2"/>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sz w:val="32"/>
          <w:szCs w:val="32"/>
        </w:rPr>
      </w:pPr>
      <w:r>
        <w:rPr>
          <w:rFonts w:hint="eastAsia"/>
          <w:sz w:val="32"/>
          <w:szCs w:val="32"/>
        </w:rPr>
        <w:t>操作规范是指每一个操作步骤应该达到的要求、标准或阶段性的具体工作成果。</w:t>
      </w:r>
    </w:p>
    <w:p w14:paraId="777F9693">
      <w:pPr>
        <w:pStyle w:val="2"/>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sz w:val="32"/>
          <w:szCs w:val="32"/>
        </w:rPr>
      </w:pPr>
      <w:r>
        <w:rPr>
          <w:rFonts w:hint="eastAsia"/>
          <w:sz w:val="32"/>
          <w:szCs w:val="32"/>
        </w:rPr>
        <w:t>相关知识是指完成相应的工作步骤必须掌握的知识，包括工具设备的知识，安全、卫生、环境保护等方面的知识及有关注意事项。按照“干什么,学什么”的原则，列出跟每一个具体操作步骤直接相关的知识点。</w:t>
      </w:r>
    </w:p>
    <w:p w14:paraId="4B4CFDEA">
      <w:pPr>
        <w:pStyle w:val="2"/>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sz w:val="32"/>
          <w:szCs w:val="32"/>
        </w:rPr>
      </w:pPr>
      <w:r>
        <w:rPr>
          <w:rFonts w:hint="eastAsia"/>
          <w:sz w:val="32"/>
          <w:szCs w:val="32"/>
        </w:rPr>
        <w:t>考核比重：根据每项具体工作或阶段性成果的重要性及技术复杂程度确定其在考核中应占的比重，用百分比(%)表示。</w:t>
      </w:r>
    </w:p>
    <w:p w14:paraId="74760F1A">
      <w:pPr>
        <w:pStyle w:val="2"/>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六、考核要求</w:t>
      </w:r>
    </w:p>
    <w:p w14:paraId="6BF27A8E">
      <w:pPr>
        <w:pStyle w:val="2"/>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楷体" w:hAnsi="楷体" w:eastAsia="楷体" w:cs="楷体"/>
          <w:sz w:val="32"/>
          <w:szCs w:val="32"/>
        </w:rPr>
      </w:pPr>
      <w:r>
        <w:rPr>
          <w:rFonts w:hint="eastAsia" w:ascii="楷体" w:hAnsi="楷体" w:eastAsia="楷体" w:cs="楷体"/>
          <w:sz w:val="32"/>
          <w:szCs w:val="32"/>
        </w:rPr>
        <w:t>(一)申报条件</w:t>
      </w:r>
    </w:p>
    <w:p w14:paraId="2643E935">
      <w:pPr>
        <w:pStyle w:val="2"/>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sz w:val="32"/>
          <w:szCs w:val="32"/>
        </w:rPr>
      </w:pPr>
      <w:r>
        <w:rPr>
          <w:rFonts w:hint="eastAsia"/>
          <w:sz w:val="32"/>
          <w:szCs w:val="32"/>
        </w:rPr>
        <w:t>达到法定劳动年龄，具有相应技能的劳动者均可申报。</w:t>
      </w:r>
    </w:p>
    <w:p w14:paraId="4A65DC24">
      <w:pPr>
        <w:pStyle w:val="2"/>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楷体" w:hAnsi="楷体" w:eastAsia="楷体" w:cs="楷体"/>
          <w:sz w:val="32"/>
          <w:szCs w:val="32"/>
        </w:rPr>
      </w:pPr>
      <w:r>
        <w:rPr>
          <w:rFonts w:hint="eastAsia" w:ascii="楷体" w:hAnsi="楷体" w:eastAsia="楷体" w:cs="楷体"/>
          <w:sz w:val="32"/>
          <w:szCs w:val="32"/>
        </w:rPr>
        <w:t>(二)考评人员构成</w:t>
      </w:r>
    </w:p>
    <w:p w14:paraId="0C66EBF7">
      <w:pPr>
        <w:pStyle w:val="2"/>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sz w:val="32"/>
          <w:szCs w:val="32"/>
        </w:rPr>
      </w:pPr>
      <w:r>
        <w:rPr>
          <w:rFonts w:hint="eastAsia"/>
          <w:sz w:val="32"/>
          <w:szCs w:val="32"/>
        </w:rPr>
        <w:t>根据各个专项职业能力的具体情况确定。</w:t>
      </w:r>
    </w:p>
    <w:p w14:paraId="796BADE3">
      <w:pPr>
        <w:pStyle w:val="2"/>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rFonts w:hint="eastAsia" w:ascii="楷体" w:hAnsi="楷体" w:eastAsia="楷体" w:cs="楷体"/>
          <w:sz w:val="32"/>
          <w:szCs w:val="32"/>
        </w:rPr>
      </w:pPr>
      <w:r>
        <w:rPr>
          <w:rFonts w:hint="eastAsia" w:ascii="楷体" w:hAnsi="楷体" w:eastAsia="楷体" w:cs="楷体"/>
          <w:sz w:val="32"/>
          <w:szCs w:val="32"/>
        </w:rPr>
        <w:t>(三)考核方式与考核时间</w:t>
      </w:r>
    </w:p>
    <w:p w14:paraId="1D77EF70">
      <w:pPr>
        <w:pStyle w:val="2"/>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jc w:val="both"/>
        <w:textAlignment w:val="baseline"/>
        <w:rPr>
          <w:sz w:val="32"/>
          <w:szCs w:val="32"/>
        </w:rPr>
      </w:pPr>
      <w:r>
        <w:rPr>
          <w:rFonts w:hint="eastAsia"/>
          <w:sz w:val="32"/>
          <w:szCs w:val="32"/>
        </w:rPr>
        <w:t>根据各个专项职业能力的具体情况确定，一般不单独考核理论知识。但对技术复杂性较强、安全要求较高、影响消费者安全与健康的专项职业能力，考核内容中必须包含相关法律法规、安全操作和卫生知识。</w:t>
      </w: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D162E">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E5147C"/>
    <w:rsid w:val="01205D5C"/>
    <w:rsid w:val="015C4E83"/>
    <w:rsid w:val="04806B11"/>
    <w:rsid w:val="05A36F5B"/>
    <w:rsid w:val="07061550"/>
    <w:rsid w:val="085B3B1D"/>
    <w:rsid w:val="0ADD6A6C"/>
    <w:rsid w:val="0C931AD8"/>
    <w:rsid w:val="0CBB42C5"/>
    <w:rsid w:val="0E0A35FC"/>
    <w:rsid w:val="0F1968F7"/>
    <w:rsid w:val="0F44355D"/>
    <w:rsid w:val="0F975858"/>
    <w:rsid w:val="12D1335A"/>
    <w:rsid w:val="1389504F"/>
    <w:rsid w:val="145F6743"/>
    <w:rsid w:val="1791130A"/>
    <w:rsid w:val="17BB6387"/>
    <w:rsid w:val="18C179CD"/>
    <w:rsid w:val="19676A15"/>
    <w:rsid w:val="1B99078D"/>
    <w:rsid w:val="1EFA37F8"/>
    <w:rsid w:val="1F9E56AE"/>
    <w:rsid w:val="20E95D13"/>
    <w:rsid w:val="20F7113B"/>
    <w:rsid w:val="21635AC5"/>
    <w:rsid w:val="21C5052E"/>
    <w:rsid w:val="234B4F0F"/>
    <w:rsid w:val="234C2589"/>
    <w:rsid w:val="2420068E"/>
    <w:rsid w:val="2540611D"/>
    <w:rsid w:val="26597496"/>
    <w:rsid w:val="2672406A"/>
    <w:rsid w:val="26B11406"/>
    <w:rsid w:val="294E0E09"/>
    <w:rsid w:val="2A157B78"/>
    <w:rsid w:val="2A435F0E"/>
    <w:rsid w:val="2C4D184B"/>
    <w:rsid w:val="2C77574A"/>
    <w:rsid w:val="2CA536AB"/>
    <w:rsid w:val="2D0267C5"/>
    <w:rsid w:val="2D542766"/>
    <w:rsid w:val="2DA90D03"/>
    <w:rsid w:val="30C57B47"/>
    <w:rsid w:val="327E67BB"/>
    <w:rsid w:val="35B71AE4"/>
    <w:rsid w:val="35E55780"/>
    <w:rsid w:val="36853887"/>
    <w:rsid w:val="39311BAD"/>
    <w:rsid w:val="3B964177"/>
    <w:rsid w:val="3C6B187A"/>
    <w:rsid w:val="3E561C53"/>
    <w:rsid w:val="408A49C4"/>
    <w:rsid w:val="410B7187"/>
    <w:rsid w:val="41306BEE"/>
    <w:rsid w:val="416F6451"/>
    <w:rsid w:val="4237620D"/>
    <w:rsid w:val="42D41E73"/>
    <w:rsid w:val="42E5147C"/>
    <w:rsid w:val="4561639F"/>
    <w:rsid w:val="45BA2EE8"/>
    <w:rsid w:val="46591D60"/>
    <w:rsid w:val="497D499A"/>
    <w:rsid w:val="4B2047A0"/>
    <w:rsid w:val="4C0575F5"/>
    <w:rsid w:val="4DDA060D"/>
    <w:rsid w:val="4E61488B"/>
    <w:rsid w:val="4F900B6C"/>
    <w:rsid w:val="5338020A"/>
    <w:rsid w:val="53C15593"/>
    <w:rsid w:val="56E542AB"/>
    <w:rsid w:val="57C86763"/>
    <w:rsid w:val="58966990"/>
    <w:rsid w:val="591E1985"/>
    <w:rsid w:val="5B6C3F69"/>
    <w:rsid w:val="5CDF3DD1"/>
    <w:rsid w:val="5E115985"/>
    <w:rsid w:val="5E282CCF"/>
    <w:rsid w:val="5EB97DCB"/>
    <w:rsid w:val="611834CF"/>
    <w:rsid w:val="617C3A5E"/>
    <w:rsid w:val="63A66B70"/>
    <w:rsid w:val="63DC0140"/>
    <w:rsid w:val="648118D7"/>
    <w:rsid w:val="65393A14"/>
    <w:rsid w:val="68B7218C"/>
    <w:rsid w:val="6FAD0DF6"/>
    <w:rsid w:val="736507F6"/>
    <w:rsid w:val="74253AE1"/>
    <w:rsid w:val="75750A98"/>
    <w:rsid w:val="77610F13"/>
    <w:rsid w:val="7AD46261"/>
    <w:rsid w:val="7CD0616A"/>
    <w:rsid w:val="7D9D3CD1"/>
    <w:rsid w:val="7E293D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3"/>
      <w:szCs w:val="33"/>
      <w:lang w:val="en-US" w:eastAsia="en-US" w:bidi="ar-SA"/>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Table Text"/>
    <w:basedOn w:val="1"/>
    <w:semiHidden/>
    <w:qFormat/>
    <w:uiPriority w:val="0"/>
    <w:rPr>
      <w:rFonts w:ascii="宋体" w:hAnsi="宋体" w:eastAsia="宋体" w:cs="宋体"/>
      <w:sz w:val="20"/>
      <w:szCs w:val="20"/>
      <w:lang w:val="en-US" w:eastAsia="en-US" w:bidi="ar-SA"/>
    </w:r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1014</Words>
  <Characters>1097</Characters>
  <Lines>0</Lines>
  <Paragraphs>0</Paragraphs>
  <TotalTime>2</TotalTime>
  <ScaleCrop>false</ScaleCrop>
  <LinksUpToDate>false</LinksUpToDate>
  <CharactersWithSpaces>1115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2026-08-03T06:43:00Z</dcterms:created>
  <dc:creator>平凡的世界</dc:creator>
  <cp:lastModifiedBy>平凡的世界</cp:lastModifiedBy>
  <dcterms:modified xsi:type="dcterms:W3CDTF">2026-08-06T09:47:59Z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B1EC30F705AA40BAA3B1092BFE3ED39F_13</vt:lpwstr>
  </property>
  <property fmtid="{D5CDD505-2E9C-101B-9397-08002B2CF9AE}" pid="4" name="KSOTemplateDocerSaveRecord">
    <vt:lpwstr>eyJoZGlkIjoiM2UzNzc3Yjc4NzhmNTc3OTM3OTlmYzY3ODFhZjhkZTgiLCJ1c2VySWQiOiIzMDA5NDcxNSJ9</vt:lpwstr>
  </property>
</Properties>
</file>